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0B4" w:rsidRDefault="00F55AA6" w:rsidP="00F55AA6">
      <w:pPr>
        <w:pStyle w:val="PlainText"/>
        <w:spacing w:line="360" w:lineRule="auto"/>
        <w:jc w:val="both"/>
        <w:rPr>
          <w:rFonts w:asciiTheme="minorHAnsi" w:hAnsiTheme="minorHAnsi" w:cs="Courier New"/>
          <w:b/>
          <w:sz w:val="28"/>
          <w:szCs w:val="28"/>
        </w:rPr>
      </w:pPr>
      <w:r>
        <w:rPr>
          <w:rFonts w:asciiTheme="minorHAnsi" w:hAnsiTheme="minorHAnsi" w:cs="Courier New"/>
          <w:b/>
          <w:sz w:val="28"/>
          <w:szCs w:val="28"/>
        </w:rPr>
        <w:t>Foreign Investment</w:t>
      </w:r>
      <w:r w:rsidR="00B13A0E">
        <w:rPr>
          <w:rFonts w:asciiTheme="minorHAnsi" w:hAnsiTheme="minorHAnsi" w:cs="Courier New"/>
          <w:b/>
          <w:sz w:val="28"/>
          <w:szCs w:val="28"/>
        </w:rPr>
        <w:t xml:space="preserve"> and Shared Sovereignty</w:t>
      </w:r>
      <w:r w:rsidR="00B13A0E">
        <w:rPr>
          <w:rStyle w:val="FootnoteReference"/>
          <w:rFonts w:asciiTheme="minorHAnsi" w:hAnsiTheme="minorHAnsi" w:cs="Courier New"/>
          <w:b/>
          <w:sz w:val="28"/>
          <w:szCs w:val="28"/>
        </w:rPr>
        <w:footnoteReference w:id="1"/>
      </w:r>
    </w:p>
    <w:p w:rsidR="00D01CD3" w:rsidRDefault="00D01CD3" w:rsidP="00F55AA6">
      <w:pPr>
        <w:pStyle w:val="PlainText"/>
        <w:spacing w:line="360" w:lineRule="auto"/>
        <w:jc w:val="both"/>
        <w:rPr>
          <w:rFonts w:asciiTheme="minorHAnsi" w:hAnsiTheme="minorHAnsi" w:cs="Courier New"/>
          <w:sz w:val="22"/>
          <w:szCs w:val="22"/>
        </w:rPr>
      </w:pPr>
      <w:r>
        <w:rPr>
          <w:rFonts w:asciiTheme="minorHAnsi" w:hAnsiTheme="minorHAnsi" w:cs="Courier New"/>
          <w:sz w:val="22"/>
          <w:szCs w:val="22"/>
        </w:rPr>
        <w:t>Angus Armstrong</w:t>
      </w:r>
      <w:r w:rsidR="006F3790">
        <w:rPr>
          <w:rStyle w:val="FootnoteReference"/>
          <w:rFonts w:asciiTheme="minorHAnsi" w:hAnsiTheme="minorHAnsi" w:cs="Courier New"/>
          <w:sz w:val="22"/>
          <w:szCs w:val="22"/>
        </w:rPr>
        <w:footnoteReference w:id="2"/>
      </w:r>
      <w:r>
        <w:rPr>
          <w:rFonts w:asciiTheme="minorHAnsi" w:hAnsiTheme="minorHAnsi" w:cs="Courier New"/>
          <w:sz w:val="22"/>
          <w:szCs w:val="22"/>
        </w:rPr>
        <w:t xml:space="preserve"> and Julian Winkler</w:t>
      </w:r>
      <w:r w:rsidR="006F3790">
        <w:rPr>
          <w:rStyle w:val="FootnoteReference"/>
          <w:rFonts w:asciiTheme="minorHAnsi" w:hAnsiTheme="minorHAnsi" w:cs="Courier New"/>
          <w:sz w:val="22"/>
          <w:szCs w:val="22"/>
        </w:rPr>
        <w:footnoteReference w:id="3"/>
      </w:r>
    </w:p>
    <w:p w:rsidR="00D01CD3" w:rsidRDefault="00D01CD3" w:rsidP="00F55AA6">
      <w:pPr>
        <w:pStyle w:val="PlainText"/>
        <w:spacing w:line="360" w:lineRule="auto"/>
        <w:jc w:val="both"/>
        <w:rPr>
          <w:rFonts w:asciiTheme="minorHAnsi" w:hAnsiTheme="minorHAnsi" w:cs="Courier New"/>
          <w:sz w:val="22"/>
          <w:szCs w:val="22"/>
        </w:rPr>
      </w:pPr>
    </w:p>
    <w:p w:rsidR="00D01CD3" w:rsidRDefault="00CB3FB2" w:rsidP="00F55AA6">
      <w:pPr>
        <w:pStyle w:val="PlainText"/>
        <w:spacing w:line="360" w:lineRule="auto"/>
        <w:jc w:val="both"/>
        <w:rPr>
          <w:rFonts w:asciiTheme="minorHAnsi" w:hAnsiTheme="minorHAnsi" w:cs="Courier New"/>
          <w:sz w:val="22"/>
          <w:szCs w:val="22"/>
        </w:rPr>
      </w:pPr>
      <w:r>
        <w:rPr>
          <w:rFonts w:asciiTheme="minorHAnsi" w:hAnsiTheme="minorHAnsi" w:cs="Courier New"/>
          <w:sz w:val="22"/>
          <w:szCs w:val="22"/>
        </w:rPr>
        <w:t xml:space="preserve">August </w:t>
      </w:r>
      <w:r w:rsidR="00D01CD3">
        <w:rPr>
          <w:rFonts w:asciiTheme="minorHAnsi" w:hAnsiTheme="minorHAnsi" w:cs="Courier New"/>
          <w:sz w:val="22"/>
          <w:szCs w:val="22"/>
        </w:rPr>
        <w:t>2017</w:t>
      </w:r>
    </w:p>
    <w:p w:rsidR="00D01CD3" w:rsidRDefault="00D01CD3" w:rsidP="00F55AA6">
      <w:pPr>
        <w:pStyle w:val="PlainText"/>
        <w:spacing w:line="360" w:lineRule="auto"/>
        <w:jc w:val="both"/>
        <w:rPr>
          <w:rFonts w:asciiTheme="minorHAnsi" w:hAnsiTheme="minorHAnsi" w:cs="Courier New"/>
          <w:sz w:val="22"/>
          <w:szCs w:val="22"/>
        </w:rPr>
      </w:pPr>
    </w:p>
    <w:p w:rsidR="00CB3FB2" w:rsidRDefault="00CB3FB2" w:rsidP="00F55AA6">
      <w:pPr>
        <w:pStyle w:val="PlainText"/>
        <w:spacing w:line="360" w:lineRule="auto"/>
        <w:jc w:val="both"/>
        <w:rPr>
          <w:rFonts w:asciiTheme="minorHAnsi" w:hAnsiTheme="minorHAnsi" w:cs="Courier New"/>
          <w:sz w:val="22"/>
          <w:szCs w:val="22"/>
        </w:rPr>
      </w:pPr>
    </w:p>
    <w:p w:rsidR="00CB3FB2" w:rsidRDefault="00CB3FB2" w:rsidP="00F55AA6">
      <w:pPr>
        <w:pStyle w:val="PlainText"/>
        <w:spacing w:line="360" w:lineRule="auto"/>
        <w:jc w:val="both"/>
        <w:rPr>
          <w:rFonts w:asciiTheme="minorHAnsi" w:hAnsiTheme="minorHAnsi" w:cs="Courier New"/>
          <w:sz w:val="22"/>
          <w:szCs w:val="22"/>
        </w:rPr>
      </w:pPr>
    </w:p>
    <w:p w:rsidR="00D01CD3" w:rsidRDefault="00D01CD3" w:rsidP="00F55AA6">
      <w:pPr>
        <w:pStyle w:val="PlainText"/>
        <w:spacing w:line="360" w:lineRule="auto"/>
        <w:jc w:val="both"/>
        <w:rPr>
          <w:rFonts w:asciiTheme="minorHAnsi" w:hAnsiTheme="minorHAnsi" w:cs="Courier New"/>
          <w:sz w:val="22"/>
          <w:szCs w:val="22"/>
        </w:rPr>
      </w:pPr>
      <w:r>
        <w:rPr>
          <w:rFonts w:asciiTheme="minorHAnsi" w:hAnsiTheme="minorHAnsi" w:cs="Courier New"/>
          <w:sz w:val="22"/>
          <w:szCs w:val="22"/>
        </w:rPr>
        <w:t>Abstract</w:t>
      </w:r>
    </w:p>
    <w:p w:rsidR="00D01CD3" w:rsidRDefault="00D01CD3" w:rsidP="00F55AA6">
      <w:pPr>
        <w:pStyle w:val="PlainText"/>
        <w:spacing w:line="360" w:lineRule="auto"/>
        <w:jc w:val="both"/>
        <w:rPr>
          <w:rFonts w:asciiTheme="minorHAnsi" w:hAnsiTheme="minorHAnsi" w:cs="Courier New"/>
          <w:sz w:val="22"/>
          <w:szCs w:val="22"/>
        </w:rPr>
      </w:pPr>
    </w:p>
    <w:p w:rsidR="006F3790" w:rsidRDefault="00AC7126" w:rsidP="00A52074">
      <w:pPr>
        <w:pStyle w:val="PlainText"/>
        <w:spacing w:after="120" w:line="360" w:lineRule="auto"/>
        <w:jc w:val="both"/>
        <w:rPr>
          <w:rFonts w:asciiTheme="minorHAnsi" w:hAnsiTheme="minorHAnsi" w:cs="Courier New"/>
          <w:sz w:val="22"/>
          <w:szCs w:val="22"/>
        </w:rPr>
      </w:pPr>
      <w:r>
        <w:rPr>
          <w:rFonts w:asciiTheme="minorHAnsi" w:hAnsiTheme="minorHAnsi" w:cs="Courier New"/>
          <w:sz w:val="22"/>
          <w:szCs w:val="22"/>
        </w:rPr>
        <w:t xml:space="preserve">National sovereignty over economic affairs has emerged as an important political issue. </w:t>
      </w:r>
      <w:r w:rsidR="00CB3FB2">
        <w:rPr>
          <w:rFonts w:asciiTheme="minorHAnsi" w:hAnsiTheme="minorHAnsi" w:cs="Courier New"/>
          <w:sz w:val="22"/>
          <w:szCs w:val="22"/>
        </w:rPr>
        <w:t>Bilateral i</w:t>
      </w:r>
      <w:r w:rsidR="00CB3FB2">
        <w:rPr>
          <w:rFonts w:asciiTheme="minorHAnsi" w:hAnsiTheme="minorHAnsi" w:cs="Courier New"/>
          <w:sz w:val="22"/>
          <w:szCs w:val="22"/>
        </w:rPr>
        <w:t>n</w:t>
      </w:r>
      <w:r w:rsidR="00CB3FB2">
        <w:rPr>
          <w:rFonts w:asciiTheme="minorHAnsi" w:hAnsiTheme="minorHAnsi" w:cs="Courier New"/>
          <w:sz w:val="22"/>
          <w:szCs w:val="22"/>
        </w:rPr>
        <w:t>vestment treaties often include Investor State Dispute Settlement (ISDS) mechanisms that allow fo</w:t>
      </w:r>
      <w:r w:rsidR="00CB3FB2">
        <w:rPr>
          <w:rFonts w:asciiTheme="minorHAnsi" w:hAnsiTheme="minorHAnsi" w:cs="Courier New"/>
          <w:sz w:val="22"/>
          <w:szCs w:val="22"/>
        </w:rPr>
        <w:t>r</w:t>
      </w:r>
      <w:r w:rsidR="00CB3FB2">
        <w:rPr>
          <w:rFonts w:asciiTheme="minorHAnsi" w:hAnsiTheme="minorHAnsi" w:cs="Courier New"/>
          <w:sz w:val="22"/>
          <w:szCs w:val="22"/>
        </w:rPr>
        <w:t xml:space="preserve">eign investors to challenge </w:t>
      </w:r>
      <w:r w:rsidR="00A52074">
        <w:rPr>
          <w:rFonts w:asciiTheme="minorHAnsi" w:hAnsiTheme="minorHAnsi" w:cs="Courier New"/>
          <w:sz w:val="22"/>
          <w:szCs w:val="22"/>
        </w:rPr>
        <w:t>national governments and refer disputes to a supranational court. While public animosity towards ISDS is clear, arguably blocking the Transatlantic Trade and Investment Par</w:t>
      </w:r>
      <w:r w:rsidR="00A52074">
        <w:rPr>
          <w:rFonts w:asciiTheme="minorHAnsi" w:hAnsiTheme="minorHAnsi" w:cs="Courier New"/>
          <w:sz w:val="22"/>
          <w:szCs w:val="22"/>
        </w:rPr>
        <w:t>t</w:t>
      </w:r>
      <w:r w:rsidR="00A52074">
        <w:rPr>
          <w:rFonts w:asciiTheme="minorHAnsi" w:hAnsiTheme="minorHAnsi" w:cs="Courier New"/>
          <w:sz w:val="22"/>
          <w:szCs w:val="22"/>
        </w:rPr>
        <w:t xml:space="preserve">nership (TTIP), there is less evidence of the benefit in terms of promoting cross-border investment. This </w:t>
      </w:r>
      <w:r w:rsidR="00D01CD3" w:rsidRPr="00D01CD3">
        <w:rPr>
          <w:rFonts w:asciiTheme="minorHAnsi" w:hAnsiTheme="minorHAnsi" w:cs="Courier New"/>
          <w:sz w:val="22"/>
          <w:szCs w:val="22"/>
        </w:rPr>
        <w:t xml:space="preserve">study </w:t>
      </w:r>
      <w:r w:rsidR="00A52074">
        <w:rPr>
          <w:rFonts w:asciiTheme="minorHAnsi" w:hAnsiTheme="minorHAnsi" w:cs="Courier New"/>
          <w:sz w:val="22"/>
          <w:szCs w:val="22"/>
        </w:rPr>
        <w:t xml:space="preserve">looks at </w:t>
      </w:r>
      <w:r w:rsidR="00D01CD3" w:rsidRPr="00D01CD3">
        <w:rPr>
          <w:rFonts w:asciiTheme="minorHAnsi" w:hAnsiTheme="minorHAnsi" w:cs="Courier New"/>
          <w:sz w:val="22"/>
          <w:szCs w:val="22"/>
        </w:rPr>
        <w:t xml:space="preserve">how </w:t>
      </w:r>
      <w:r w:rsidR="007E6C14">
        <w:rPr>
          <w:rFonts w:asciiTheme="minorHAnsi" w:hAnsiTheme="minorHAnsi" w:cs="Courier New"/>
          <w:sz w:val="22"/>
          <w:szCs w:val="22"/>
        </w:rPr>
        <w:t xml:space="preserve">the legal provisions contained in </w:t>
      </w:r>
      <w:r w:rsidR="00D01CD3" w:rsidRPr="00D01CD3">
        <w:rPr>
          <w:rFonts w:asciiTheme="minorHAnsi" w:hAnsiTheme="minorHAnsi" w:cs="Courier New"/>
          <w:sz w:val="22"/>
          <w:szCs w:val="22"/>
        </w:rPr>
        <w:t xml:space="preserve">Bilateral Investment Treaties (BITs) affect </w:t>
      </w:r>
      <w:r w:rsidR="007E6C14">
        <w:rPr>
          <w:rFonts w:asciiTheme="minorHAnsi" w:hAnsiTheme="minorHAnsi" w:cs="Courier New"/>
          <w:sz w:val="22"/>
          <w:szCs w:val="22"/>
        </w:rPr>
        <w:t>fo</w:t>
      </w:r>
      <w:r w:rsidR="007E6C14">
        <w:rPr>
          <w:rFonts w:asciiTheme="minorHAnsi" w:hAnsiTheme="minorHAnsi" w:cs="Courier New"/>
          <w:sz w:val="22"/>
          <w:szCs w:val="22"/>
        </w:rPr>
        <w:t>r</w:t>
      </w:r>
      <w:r w:rsidR="007E6C14">
        <w:rPr>
          <w:rFonts w:asciiTheme="minorHAnsi" w:hAnsiTheme="minorHAnsi" w:cs="Courier New"/>
          <w:sz w:val="22"/>
          <w:szCs w:val="22"/>
        </w:rPr>
        <w:t xml:space="preserve">eign direct investment </w:t>
      </w:r>
      <w:r w:rsidR="00D01CD3" w:rsidRPr="00D01CD3">
        <w:rPr>
          <w:rFonts w:asciiTheme="minorHAnsi" w:hAnsiTheme="minorHAnsi" w:cs="Courier New"/>
          <w:sz w:val="22"/>
          <w:szCs w:val="22"/>
        </w:rPr>
        <w:t xml:space="preserve">inflows in OECD countries. This </w:t>
      </w:r>
      <w:r w:rsidR="00A52074">
        <w:rPr>
          <w:rFonts w:asciiTheme="minorHAnsi" w:hAnsiTheme="minorHAnsi" w:cs="Courier New"/>
          <w:sz w:val="22"/>
          <w:szCs w:val="22"/>
        </w:rPr>
        <w:t xml:space="preserve">extends the </w:t>
      </w:r>
      <w:r w:rsidR="00D01CD3" w:rsidRPr="00D01CD3">
        <w:rPr>
          <w:rFonts w:asciiTheme="minorHAnsi" w:hAnsiTheme="minorHAnsi" w:cs="Courier New"/>
          <w:sz w:val="22"/>
          <w:szCs w:val="22"/>
        </w:rPr>
        <w:t>existing literature</w:t>
      </w:r>
      <w:r w:rsidR="007E6C14">
        <w:rPr>
          <w:rFonts w:asciiTheme="minorHAnsi" w:hAnsiTheme="minorHAnsi" w:cs="Courier New"/>
          <w:sz w:val="22"/>
          <w:szCs w:val="22"/>
        </w:rPr>
        <w:t xml:space="preserve"> on two counts: first</w:t>
      </w:r>
      <w:r w:rsidR="00D01CD3" w:rsidRPr="00D01CD3">
        <w:rPr>
          <w:rFonts w:asciiTheme="minorHAnsi" w:hAnsiTheme="minorHAnsi" w:cs="Courier New"/>
          <w:sz w:val="22"/>
          <w:szCs w:val="22"/>
        </w:rPr>
        <w:t xml:space="preserve">, </w:t>
      </w:r>
      <w:r w:rsidR="007E6C14">
        <w:rPr>
          <w:rFonts w:asciiTheme="minorHAnsi" w:hAnsiTheme="minorHAnsi" w:cs="Courier New"/>
          <w:sz w:val="22"/>
          <w:szCs w:val="22"/>
        </w:rPr>
        <w:t xml:space="preserve">we examine separate </w:t>
      </w:r>
      <w:r w:rsidR="00D01CD3" w:rsidRPr="00D01CD3">
        <w:rPr>
          <w:rFonts w:asciiTheme="minorHAnsi" w:hAnsiTheme="minorHAnsi" w:cs="Courier New"/>
          <w:sz w:val="22"/>
          <w:szCs w:val="22"/>
        </w:rPr>
        <w:t>invest</w:t>
      </w:r>
      <w:r w:rsidR="007E6C14">
        <w:rPr>
          <w:rFonts w:asciiTheme="minorHAnsi" w:hAnsiTheme="minorHAnsi" w:cs="Courier New"/>
          <w:sz w:val="22"/>
          <w:szCs w:val="22"/>
        </w:rPr>
        <w:t xml:space="preserve">or </w:t>
      </w:r>
      <w:r w:rsidR="00D01CD3" w:rsidRPr="00D01CD3">
        <w:rPr>
          <w:rFonts w:asciiTheme="minorHAnsi" w:hAnsiTheme="minorHAnsi" w:cs="Courier New"/>
          <w:sz w:val="22"/>
          <w:szCs w:val="22"/>
        </w:rPr>
        <w:t xml:space="preserve">protection </w:t>
      </w:r>
      <w:r w:rsidR="00A52074">
        <w:rPr>
          <w:rFonts w:asciiTheme="minorHAnsi" w:hAnsiTheme="minorHAnsi" w:cs="Courier New"/>
          <w:sz w:val="22"/>
          <w:szCs w:val="22"/>
        </w:rPr>
        <w:t xml:space="preserve">clauses </w:t>
      </w:r>
      <w:r w:rsidR="007E6C14">
        <w:rPr>
          <w:rFonts w:asciiTheme="minorHAnsi" w:hAnsiTheme="minorHAnsi" w:cs="Courier New"/>
          <w:sz w:val="22"/>
          <w:szCs w:val="22"/>
        </w:rPr>
        <w:t xml:space="preserve">contained in BITs; and second we cover </w:t>
      </w:r>
      <w:r w:rsidR="00B05451">
        <w:rPr>
          <w:rFonts w:asciiTheme="minorHAnsi" w:hAnsiTheme="minorHAnsi" w:cs="Courier New"/>
          <w:sz w:val="22"/>
          <w:szCs w:val="22"/>
        </w:rPr>
        <w:t>OECD</w:t>
      </w:r>
      <w:r w:rsidR="00D01CD3" w:rsidRPr="00D01CD3">
        <w:rPr>
          <w:rFonts w:asciiTheme="minorHAnsi" w:hAnsiTheme="minorHAnsi" w:cs="Courier New"/>
          <w:sz w:val="22"/>
          <w:szCs w:val="22"/>
        </w:rPr>
        <w:t xml:space="preserve"> eco</w:t>
      </w:r>
      <w:r w:rsidR="00D01CD3" w:rsidRPr="00D01CD3">
        <w:rPr>
          <w:rFonts w:asciiTheme="minorHAnsi" w:hAnsiTheme="minorHAnsi" w:cs="Courier New"/>
          <w:sz w:val="22"/>
          <w:szCs w:val="22"/>
        </w:rPr>
        <w:t>n</w:t>
      </w:r>
      <w:r w:rsidR="00D01CD3" w:rsidRPr="00D01CD3">
        <w:rPr>
          <w:rFonts w:asciiTheme="minorHAnsi" w:hAnsiTheme="minorHAnsi" w:cs="Courier New"/>
          <w:sz w:val="22"/>
          <w:szCs w:val="22"/>
        </w:rPr>
        <w:t>omies</w:t>
      </w:r>
      <w:r w:rsidR="007E6C14">
        <w:rPr>
          <w:rFonts w:asciiTheme="minorHAnsi" w:hAnsiTheme="minorHAnsi" w:cs="Courier New"/>
          <w:sz w:val="22"/>
          <w:szCs w:val="22"/>
        </w:rPr>
        <w:t xml:space="preserve"> only</w:t>
      </w:r>
      <w:r w:rsidR="00D01CD3" w:rsidRPr="00D01CD3">
        <w:rPr>
          <w:rFonts w:asciiTheme="minorHAnsi" w:hAnsiTheme="minorHAnsi" w:cs="Courier New"/>
          <w:sz w:val="22"/>
          <w:szCs w:val="22"/>
        </w:rPr>
        <w:t xml:space="preserve">. </w:t>
      </w:r>
      <w:r w:rsidR="007E6C14">
        <w:rPr>
          <w:rFonts w:asciiTheme="minorHAnsi" w:hAnsiTheme="minorHAnsi" w:cs="Courier New"/>
          <w:sz w:val="22"/>
          <w:szCs w:val="22"/>
        </w:rPr>
        <w:t xml:space="preserve">We </w:t>
      </w:r>
      <w:r w:rsidR="00405FCD">
        <w:rPr>
          <w:rFonts w:asciiTheme="minorHAnsi" w:hAnsiTheme="minorHAnsi" w:cs="Courier New"/>
          <w:sz w:val="22"/>
          <w:szCs w:val="22"/>
        </w:rPr>
        <w:t xml:space="preserve">construct a gravity model that </w:t>
      </w:r>
      <w:r w:rsidR="007E6C14">
        <w:rPr>
          <w:rFonts w:asciiTheme="minorHAnsi" w:hAnsiTheme="minorHAnsi" w:cs="Courier New"/>
          <w:sz w:val="22"/>
          <w:szCs w:val="22"/>
        </w:rPr>
        <w:t>take</w:t>
      </w:r>
      <w:r w:rsidR="00405FCD">
        <w:rPr>
          <w:rFonts w:asciiTheme="minorHAnsi" w:hAnsiTheme="minorHAnsi" w:cs="Courier New"/>
          <w:sz w:val="22"/>
          <w:szCs w:val="22"/>
        </w:rPr>
        <w:t>s</w:t>
      </w:r>
      <w:r w:rsidR="007E6C14">
        <w:rPr>
          <w:rFonts w:asciiTheme="minorHAnsi" w:hAnsiTheme="minorHAnsi" w:cs="Courier New"/>
          <w:sz w:val="22"/>
          <w:szCs w:val="22"/>
        </w:rPr>
        <w:t xml:space="preserve"> account of the existence of investment clauses in Preferential Trade Agreements</w:t>
      </w:r>
      <w:r w:rsidR="00405FCD">
        <w:rPr>
          <w:rFonts w:asciiTheme="minorHAnsi" w:hAnsiTheme="minorHAnsi" w:cs="Courier New"/>
          <w:sz w:val="22"/>
          <w:szCs w:val="22"/>
        </w:rPr>
        <w:t xml:space="preserve"> and existing </w:t>
      </w:r>
      <w:r w:rsidR="00D01CD3" w:rsidRPr="00D01CD3">
        <w:rPr>
          <w:rFonts w:asciiTheme="minorHAnsi" w:hAnsiTheme="minorHAnsi" w:cs="Courier New"/>
          <w:sz w:val="22"/>
          <w:szCs w:val="22"/>
        </w:rPr>
        <w:t xml:space="preserve">trade </w:t>
      </w:r>
      <w:r w:rsidR="00405FCD">
        <w:rPr>
          <w:rFonts w:asciiTheme="minorHAnsi" w:hAnsiTheme="minorHAnsi" w:cs="Courier New"/>
          <w:sz w:val="22"/>
          <w:szCs w:val="22"/>
        </w:rPr>
        <w:t xml:space="preserve">between two countries. </w:t>
      </w:r>
      <w:r w:rsidR="007E6C14">
        <w:rPr>
          <w:rFonts w:asciiTheme="minorHAnsi" w:hAnsiTheme="minorHAnsi" w:cs="Courier New"/>
          <w:sz w:val="22"/>
          <w:szCs w:val="22"/>
        </w:rPr>
        <w:t xml:space="preserve">We find that the inclusion of </w:t>
      </w:r>
      <w:r w:rsidR="00405FCD">
        <w:rPr>
          <w:rFonts w:asciiTheme="minorHAnsi" w:hAnsiTheme="minorHAnsi" w:cs="Courier New"/>
          <w:sz w:val="22"/>
          <w:szCs w:val="22"/>
        </w:rPr>
        <w:t xml:space="preserve">restrictive </w:t>
      </w:r>
      <w:r w:rsidR="007E6C14" w:rsidRPr="00D01CD3">
        <w:rPr>
          <w:rFonts w:asciiTheme="minorHAnsi" w:hAnsiTheme="minorHAnsi" w:cs="Courier New"/>
          <w:sz w:val="22"/>
          <w:szCs w:val="22"/>
        </w:rPr>
        <w:t>I</w:t>
      </w:r>
      <w:r w:rsidR="00405FCD">
        <w:rPr>
          <w:rFonts w:asciiTheme="minorHAnsi" w:hAnsiTheme="minorHAnsi" w:cs="Courier New"/>
          <w:sz w:val="22"/>
          <w:szCs w:val="22"/>
        </w:rPr>
        <w:t xml:space="preserve">SDS clauses </w:t>
      </w:r>
      <w:r w:rsidR="00545587">
        <w:rPr>
          <w:rFonts w:asciiTheme="minorHAnsi" w:hAnsiTheme="minorHAnsi" w:cs="Courier New"/>
          <w:sz w:val="22"/>
          <w:szCs w:val="22"/>
        </w:rPr>
        <w:t xml:space="preserve">within </w:t>
      </w:r>
      <w:r w:rsidR="007E6C14">
        <w:rPr>
          <w:rFonts w:asciiTheme="minorHAnsi" w:hAnsiTheme="minorHAnsi" w:cs="Courier New"/>
          <w:sz w:val="22"/>
          <w:szCs w:val="22"/>
        </w:rPr>
        <w:t xml:space="preserve">BITs matter most for foreign </w:t>
      </w:r>
      <w:r w:rsidR="00545587">
        <w:rPr>
          <w:rFonts w:asciiTheme="minorHAnsi" w:hAnsiTheme="minorHAnsi" w:cs="Courier New"/>
          <w:sz w:val="22"/>
          <w:szCs w:val="22"/>
        </w:rPr>
        <w:t xml:space="preserve">direct </w:t>
      </w:r>
      <w:r w:rsidR="005139C8">
        <w:rPr>
          <w:rFonts w:asciiTheme="minorHAnsi" w:hAnsiTheme="minorHAnsi" w:cs="Courier New"/>
          <w:sz w:val="22"/>
          <w:szCs w:val="22"/>
        </w:rPr>
        <w:t xml:space="preserve">investment flows. </w:t>
      </w:r>
      <w:r w:rsidR="007E6C14">
        <w:rPr>
          <w:rFonts w:asciiTheme="minorHAnsi" w:hAnsiTheme="minorHAnsi" w:cs="Courier New"/>
          <w:sz w:val="22"/>
          <w:szCs w:val="22"/>
        </w:rPr>
        <w:t>Our empirical ana</w:t>
      </w:r>
      <w:r w:rsidR="007E6C14">
        <w:rPr>
          <w:rFonts w:asciiTheme="minorHAnsi" w:hAnsiTheme="minorHAnsi" w:cs="Courier New"/>
          <w:sz w:val="22"/>
          <w:szCs w:val="22"/>
        </w:rPr>
        <w:t>l</w:t>
      </w:r>
      <w:r w:rsidR="007E6C14">
        <w:rPr>
          <w:rFonts w:asciiTheme="minorHAnsi" w:hAnsiTheme="minorHAnsi" w:cs="Courier New"/>
          <w:sz w:val="22"/>
          <w:szCs w:val="22"/>
        </w:rPr>
        <w:t>ysis shows that BITs with ISDS provisions</w:t>
      </w:r>
      <w:r w:rsidR="005C312C">
        <w:rPr>
          <w:rFonts w:asciiTheme="minorHAnsi" w:hAnsiTheme="minorHAnsi" w:cs="Courier New"/>
          <w:sz w:val="22"/>
          <w:szCs w:val="22"/>
        </w:rPr>
        <w:t xml:space="preserve"> with both </w:t>
      </w:r>
      <w:r w:rsidR="00D01CD3" w:rsidRPr="00D01CD3">
        <w:rPr>
          <w:rFonts w:asciiTheme="minorHAnsi" w:hAnsiTheme="minorHAnsi" w:cs="Courier New"/>
          <w:sz w:val="22"/>
          <w:szCs w:val="22"/>
        </w:rPr>
        <w:t>binding rules and a wide cove</w:t>
      </w:r>
      <w:r w:rsidR="00D01CD3" w:rsidRPr="00D01CD3">
        <w:rPr>
          <w:rFonts w:asciiTheme="minorHAnsi" w:hAnsiTheme="minorHAnsi" w:cs="Courier New"/>
          <w:sz w:val="22"/>
          <w:szCs w:val="22"/>
        </w:rPr>
        <w:t>r</w:t>
      </w:r>
      <w:r w:rsidR="00D01CD3" w:rsidRPr="00D01CD3">
        <w:rPr>
          <w:rFonts w:asciiTheme="minorHAnsi" w:hAnsiTheme="minorHAnsi" w:cs="Courier New"/>
          <w:sz w:val="22"/>
          <w:szCs w:val="22"/>
        </w:rPr>
        <w:t xml:space="preserve">age </w:t>
      </w:r>
      <w:r w:rsidR="00545587">
        <w:rPr>
          <w:rFonts w:asciiTheme="minorHAnsi" w:hAnsiTheme="minorHAnsi" w:cs="Courier New"/>
          <w:sz w:val="22"/>
          <w:szCs w:val="22"/>
        </w:rPr>
        <w:t xml:space="preserve">for </w:t>
      </w:r>
      <w:r w:rsidR="00D01CD3" w:rsidRPr="00D01CD3">
        <w:rPr>
          <w:rFonts w:asciiTheme="minorHAnsi" w:hAnsiTheme="minorHAnsi" w:cs="Courier New"/>
          <w:sz w:val="22"/>
          <w:szCs w:val="22"/>
        </w:rPr>
        <w:t xml:space="preserve">claims </w:t>
      </w:r>
      <w:r w:rsidR="00E82083">
        <w:rPr>
          <w:rFonts w:asciiTheme="minorHAnsi" w:hAnsiTheme="minorHAnsi" w:cs="Courier New"/>
          <w:sz w:val="22"/>
          <w:szCs w:val="22"/>
        </w:rPr>
        <w:t xml:space="preserve">may </w:t>
      </w:r>
      <w:r w:rsidR="00D01CD3" w:rsidRPr="00D01CD3">
        <w:rPr>
          <w:rFonts w:asciiTheme="minorHAnsi" w:hAnsiTheme="minorHAnsi" w:cs="Courier New"/>
          <w:sz w:val="22"/>
          <w:szCs w:val="22"/>
        </w:rPr>
        <w:t>i</w:t>
      </w:r>
      <w:r w:rsidR="005C312C">
        <w:rPr>
          <w:rFonts w:asciiTheme="minorHAnsi" w:hAnsiTheme="minorHAnsi" w:cs="Courier New"/>
          <w:sz w:val="22"/>
          <w:szCs w:val="22"/>
        </w:rPr>
        <w:t xml:space="preserve">ncrease investment flows </w:t>
      </w:r>
      <w:r w:rsidR="005139C8">
        <w:rPr>
          <w:rFonts w:asciiTheme="minorHAnsi" w:hAnsiTheme="minorHAnsi" w:cs="Courier New"/>
          <w:sz w:val="22"/>
          <w:szCs w:val="22"/>
        </w:rPr>
        <w:t>by 73</w:t>
      </w:r>
      <w:r w:rsidR="005D796F">
        <w:rPr>
          <w:rFonts w:asciiTheme="minorHAnsi" w:hAnsiTheme="minorHAnsi" w:cs="Courier New"/>
          <w:sz w:val="22"/>
          <w:szCs w:val="22"/>
        </w:rPr>
        <w:t>%</w:t>
      </w:r>
      <w:r w:rsidR="005C312C">
        <w:rPr>
          <w:rFonts w:asciiTheme="minorHAnsi" w:hAnsiTheme="minorHAnsi" w:cs="Courier New"/>
          <w:sz w:val="22"/>
          <w:szCs w:val="22"/>
        </w:rPr>
        <w:t xml:space="preserve">. </w:t>
      </w:r>
      <w:r w:rsidR="00405FCD">
        <w:rPr>
          <w:rFonts w:asciiTheme="minorHAnsi" w:hAnsiTheme="minorHAnsi" w:cs="Courier New"/>
          <w:sz w:val="22"/>
          <w:szCs w:val="22"/>
        </w:rPr>
        <w:t xml:space="preserve">The UK government acknowledges the need to create new dispute resolution mechanisms </w:t>
      </w:r>
      <w:r w:rsidR="006F3790">
        <w:rPr>
          <w:rFonts w:asciiTheme="minorHAnsi" w:hAnsiTheme="minorHAnsi" w:cs="Courier New"/>
          <w:sz w:val="22"/>
          <w:szCs w:val="22"/>
        </w:rPr>
        <w:t xml:space="preserve">after leaving </w:t>
      </w:r>
      <w:r w:rsidR="00405FCD">
        <w:rPr>
          <w:rFonts w:asciiTheme="minorHAnsi" w:hAnsiTheme="minorHAnsi" w:cs="Courier New"/>
          <w:sz w:val="22"/>
          <w:szCs w:val="22"/>
        </w:rPr>
        <w:t>the</w:t>
      </w:r>
      <w:r w:rsidR="006F3790">
        <w:rPr>
          <w:rFonts w:asciiTheme="minorHAnsi" w:hAnsiTheme="minorHAnsi" w:cs="Courier New"/>
          <w:sz w:val="22"/>
          <w:szCs w:val="22"/>
        </w:rPr>
        <w:t xml:space="preserve"> jurisdiction of the European Court of Justice. Our evidence shows that restrictive ISDS mechanisms are most effective, although this limits national sovereignty.</w:t>
      </w:r>
    </w:p>
    <w:p w:rsidR="00E82083" w:rsidRDefault="00E82083" w:rsidP="005C312C">
      <w:pPr>
        <w:pStyle w:val="PlainText"/>
        <w:spacing w:line="360" w:lineRule="auto"/>
        <w:jc w:val="both"/>
        <w:rPr>
          <w:rFonts w:asciiTheme="minorHAnsi" w:hAnsiTheme="minorHAnsi" w:cs="Courier New"/>
          <w:sz w:val="22"/>
          <w:szCs w:val="22"/>
        </w:rPr>
      </w:pPr>
    </w:p>
    <w:p w:rsidR="005C312C" w:rsidRDefault="005C312C" w:rsidP="005C312C">
      <w:pPr>
        <w:pStyle w:val="PlainText"/>
        <w:spacing w:line="360" w:lineRule="auto"/>
        <w:jc w:val="both"/>
        <w:rPr>
          <w:rFonts w:asciiTheme="minorHAnsi" w:hAnsiTheme="minorHAnsi" w:cs="Courier New"/>
          <w:sz w:val="22"/>
          <w:szCs w:val="22"/>
        </w:rPr>
      </w:pPr>
    </w:p>
    <w:p w:rsidR="001B2ABE" w:rsidRDefault="001B2ABE" w:rsidP="00F55AA6">
      <w:pPr>
        <w:pStyle w:val="PlainText"/>
        <w:spacing w:line="360" w:lineRule="auto"/>
        <w:jc w:val="both"/>
        <w:rPr>
          <w:rFonts w:asciiTheme="minorHAnsi" w:hAnsiTheme="minorHAnsi" w:cs="Courier New"/>
          <w:sz w:val="22"/>
          <w:szCs w:val="22"/>
        </w:rPr>
      </w:pPr>
    </w:p>
    <w:p w:rsidR="00D01CD3" w:rsidRDefault="006F3790" w:rsidP="00F55AA6">
      <w:pPr>
        <w:pStyle w:val="PlainText"/>
        <w:spacing w:line="360" w:lineRule="auto"/>
        <w:jc w:val="both"/>
        <w:rPr>
          <w:rFonts w:asciiTheme="minorHAnsi" w:hAnsiTheme="minorHAnsi" w:cs="Courier New"/>
          <w:sz w:val="22"/>
          <w:szCs w:val="22"/>
        </w:rPr>
      </w:pPr>
      <w:r>
        <w:rPr>
          <w:rFonts w:asciiTheme="minorHAnsi" w:hAnsiTheme="minorHAnsi" w:cs="Courier New"/>
          <w:sz w:val="22"/>
          <w:szCs w:val="22"/>
        </w:rPr>
        <w:t>(abstract words: 218</w:t>
      </w:r>
      <w:r w:rsidR="00D01CD3" w:rsidRPr="00D01CD3">
        <w:rPr>
          <w:rFonts w:asciiTheme="minorHAnsi" w:hAnsiTheme="minorHAnsi" w:cs="Courier New"/>
          <w:sz w:val="22"/>
          <w:szCs w:val="22"/>
        </w:rPr>
        <w:t xml:space="preserve">) (total words: </w:t>
      </w:r>
      <w:r w:rsidR="005D796F">
        <w:rPr>
          <w:rFonts w:asciiTheme="minorHAnsi" w:hAnsiTheme="minorHAnsi" w:cs="Courier New"/>
          <w:sz w:val="22"/>
          <w:szCs w:val="22"/>
        </w:rPr>
        <w:t>7</w:t>
      </w:r>
      <w:r w:rsidR="00E63B45">
        <w:rPr>
          <w:rFonts w:asciiTheme="minorHAnsi" w:hAnsiTheme="minorHAnsi" w:cs="Courier New"/>
          <w:sz w:val="22"/>
          <w:szCs w:val="22"/>
        </w:rPr>
        <w:t>617</w:t>
      </w:r>
      <w:r w:rsidR="00D01CD3" w:rsidRPr="00D01CD3">
        <w:rPr>
          <w:rFonts w:asciiTheme="minorHAnsi" w:hAnsiTheme="minorHAnsi" w:cs="Courier New"/>
          <w:sz w:val="22"/>
          <w:szCs w:val="22"/>
        </w:rPr>
        <w:t>)</w:t>
      </w:r>
    </w:p>
    <w:p w:rsidR="00D01CD3" w:rsidRDefault="00D01CD3" w:rsidP="00F55AA6">
      <w:pPr>
        <w:pStyle w:val="PlainText"/>
        <w:spacing w:line="360" w:lineRule="auto"/>
        <w:jc w:val="both"/>
        <w:rPr>
          <w:rFonts w:asciiTheme="minorHAnsi" w:hAnsiTheme="minorHAnsi" w:cs="Courier New"/>
          <w:sz w:val="22"/>
          <w:szCs w:val="22"/>
        </w:rPr>
      </w:pPr>
    </w:p>
    <w:p w:rsidR="00D01CD3" w:rsidRDefault="00D01CD3" w:rsidP="00F55AA6">
      <w:pPr>
        <w:pStyle w:val="PlainText"/>
        <w:spacing w:line="360" w:lineRule="auto"/>
        <w:jc w:val="both"/>
        <w:rPr>
          <w:rFonts w:asciiTheme="minorHAnsi" w:hAnsiTheme="minorHAnsi" w:cs="Courier New"/>
          <w:sz w:val="22"/>
          <w:szCs w:val="22"/>
        </w:rPr>
      </w:pPr>
    </w:p>
    <w:p w:rsidR="00D01CD3" w:rsidRDefault="00D01CD3" w:rsidP="00F55AA6">
      <w:pPr>
        <w:pStyle w:val="PlainText"/>
        <w:spacing w:line="360" w:lineRule="auto"/>
        <w:jc w:val="both"/>
        <w:rPr>
          <w:rFonts w:asciiTheme="minorHAnsi" w:hAnsiTheme="minorHAnsi" w:cs="Courier New"/>
          <w:sz w:val="22"/>
          <w:szCs w:val="22"/>
        </w:rPr>
      </w:pPr>
    </w:p>
    <w:p w:rsidR="001B2ABE" w:rsidRDefault="001B2ABE" w:rsidP="00F55AA6">
      <w:pPr>
        <w:pStyle w:val="PlainText"/>
        <w:spacing w:line="360" w:lineRule="auto"/>
        <w:jc w:val="both"/>
        <w:rPr>
          <w:rFonts w:asciiTheme="minorHAnsi" w:hAnsiTheme="minorHAnsi" w:cs="Courier New"/>
          <w:sz w:val="22"/>
          <w:szCs w:val="22"/>
        </w:rPr>
      </w:pPr>
    </w:p>
    <w:p w:rsidR="00D01CD3" w:rsidRDefault="00D01CD3" w:rsidP="00F55AA6">
      <w:pPr>
        <w:pStyle w:val="PlainText"/>
        <w:numPr>
          <w:ilvl w:val="0"/>
          <w:numId w:val="1"/>
        </w:numPr>
        <w:spacing w:line="360" w:lineRule="auto"/>
        <w:jc w:val="both"/>
        <w:rPr>
          <w:rFonts w:asciiTheme="minorHAnsi" w:hAnsiTheme="minorHAnsi" w:cs="Courier New"/>
          <w:b/>
          <w:sz w:val="22"/>
          <w:szCs w:val="22"/>
        </w:rPr>
      </w:pPr>
      <w:r>
        <w:rPr>
          <w:rFonts w:asciiTheme="minorHAnsi" w:hAnsiTheme="minorHAnsi" w:cs="Courier New"/>
          <w:b/>
          <w:sz w:val="22"/>
          <w:szCs w:val="22"/>
        </w:rPr>
        <w:t>Introduction</w:t>
      </w:r>
    </w:p>
    <w:p w:rsidR="00B97544" w:rsidRDefault="00B97544" w:rsidP="00AE181D">
      <w:pPr>
        <w:pStyle w:val="PlainText"/>
        <w:spacing w:after="120" w:line="360" w:lineRule="auto"/>
        <w:jc w:val="both"/>
        <w:rPr>
          <w:rFonts w:asciiTheme="minorHAnsi" w:hAnsiTheme="minorHAnsi" w:cs="Courier New"/>
          <w:sz w:val="22"/>
          <w:szCs w:val="22"/>
        </w:rPr>
      </w:pPr>
      <w:r>
        <w:rPr>
          <w:rFonts w:asciiTheme="minorHAnsi" w:hAnsiTheme="minorHAnsi" w:cs="Courier New"/>
          <w:sz w:val="22"/>
          <w:szCs w:val="22"/>
        </w:rPr>
        <w:t>The UK government acknowledges that once it leaves the jurisdiction of the European Court of Justice as a result of Brexit it will require new legal mechanisms to resolve cross-border disputes (White Paper cm9417). The most common mechanism is an investor state dispute settlement (ISDS) system whereby foreign investors can claim against the domestic government in a supranational court</w:t>
      </w:r>
      <w:r w:rsidR="002F1B13">
        <w:rPr>
          <w:rFonts w:asciiTheme="minorHAnsi" w:hAnsiTheme="minorHAnsi" w:cs="Courier New"/>
          <w:sz w:val="22"/>
          <w:szCs w:val="22"/>
        </w:rPr>
        <w:t xml:space="preserve"> such as the </w:t>
      </w:r>
      <w:r w:rsidR="002F1B13" w:rsidRPr="00D01CD3">
        <w:rPr>
          <w:rFonts w:asciiTheme="minorHAnsi" w:hAnsiTheme="minorHAnsi" w:cs="Courier New"/>
          <w:sz w:val="22"/>
          <w:szCs w:val="22"/>
        </w:rPr>
        <w:t>I</w:t>
      </w:r>
      <w:r w:rsidR="002F1B13" w:rsidRPr="00D01CD3">
        <w:rPr>
          <w:rFonts w:asciiTheme="minorHAnsi" w:hAnsiTheme="minorHAnsi" w:cs="Courier New"/>
          <w:sz w:val="22"/>
          <w:szCs w:val="22"/>
        </w:rPr>
        <w:t>n</w:t>
      </w:r>
      <w:r w:rsidR="002F1B13" w:rsidRPr="00D01CD3">
        <w:rPr>
          <w:rFonts w:asciiTheme="minorHAnsi" w:hAnsiTheme="minorHAnsi" w:cs="Courier New"/>
          <w:sz w:val="22"/>
          <w:szCs w:val="22"/>
        </w:rPr>
        <w:t>ternational Cent</w:t>
      </w:r>
      <w:r w:rsidR="002F1B13">
        <w:rPr>
          <w:rFonts w:asciiTheme="minorHAnsi" w:hAnsiTheme="minorHAnsi" w:cs="Courier New"/>
          <w:sz w:val="22"/>
          <w:szCs w:val="22"/>
        </w:rPr>
        <w:t>re</w:t>
      </w:r>
      <w:r w:rsidR="002F1B13" w:rsidRPr="00D01CD3">
        <w:rPr>
          <w:rFonts w:asciiTheme="minorHAnsi" w:hAnsiTheme="minorHAnsi" w:cs="Courier New"/>
          <w:sz w:val="22"/>
          <w:szCs w:val="22"/>
        </w:rPr>
        <w:t xml:space="preserve"> for Settlement of Investment Disputes (ICSID)</w:t>
      </w:r>
      <w:r>
        <w:rPr>
          <w:rFonts w:asciiTheme="minorHAnsi" w:hAnsiTheme="minorHAnsi" w:cs="Courier New"/>
          <w:sz w:val="22"/>
          <w:szCs w:val="22"/>
        </w:rPr>
        <w:t>. ISDS mechanisms are often inclu</w:t>
      </w:r>
      <w:r>
        <w:rPr>
          <w:rFonts w:asciiTheme="minorHAnsi" w:hAnsiTheme="minorHAnsi" w:cs="Courier New"/>
          <w:sz w:val="22"/>
          <w:szCs w:val="22"/>
        </w:rPr>
        <w:t>d</w:t>
      </w:r>
      <w:r>
        <w:rPr>
          <w:rFonts w:asciiTheme="minorHAnsi" w:hAnsiTheme="minorHAnsi" w:cs="Courier New"/>
          <w:sz w:val="22"/>
          <w:szCs w:val="22"/>
        </w:rPr>
        <w:t>ed in Bilateral Investment Treaties</w:t>
      </w:r>
      <w:r w:rsidR="00B13A0E">
        <w:rPr>
          <w:rFonts w:asciiTheme="minorHAnsi" w:hAnsiTheme="minorHAnsi" w:cs="Courier New"/>
          <w:sz w:val="22"/>
          <w:szCs w:val="22"/>
        </w:rPr>
        <w:t xml:space="preserve"> (BITs)</w:t>
      </w:r>
      <w:r>
        <w:rPr>
          <w:rFonts w:asciiTheme="minorHAnsi" w:hAnsiTheme="minorHAnsi" w:cs="Courier New"/>
          <w:sz w:val="22"/>
          <w:szCs w:val="22"/>
        </w:rPr>
        <w:t xml:space="preserve"> to ensure that foreign investors are treated fairly and on a co</w:t>
      </w:r>
      <w:r>
        <w:rPr>
          <w:rFonts w:asciiTheme="minorHAnsi" w:hAnsiTheme="minorHAnsi" w:cs="Courier New"/>
          <w:sz w:val="22"/>
          <w:szCs w:val="22"/>
        </w:rPr>
        <w:t>n</w:t>
      </w:r>
      <w:r>
        <w:rPr>
          <w:rFonts w:asciiTheme="minorHAnsi" w:hAnsiTheme="minorHAnsi" w:cs="Courier New"/>
          <w:sz w:val="22"/>
          <w:szCs w:val="22"/>
        </w:rPr>
        <w:t>sistent basis. However, the rising number of claims under ISDS mechanisms has led to growing p</w:t>
      </w:r>
      <w:r>
        <w:rPr>
          <w:rFonts w:asciiTheme="minorHAnsi" w:hAnsiTheme="minorHAnsi" w:cs="Courier New"/>
          <w:sz w:val="22"/>
          <w:szCs w:val="22"/>
        </w:rPr>
        <w:t>o</w:t>
      </w:r>
      <w:r>
        <w:rPr>
          <w:rFonts w:asciiTheme="minorHAnsi" w:hAnsiTheme="minorHAnsi" w:cs="Courier New"/>
          <w:sz w:val="22"/>
          <w:szCs w:val="22"/>
        </w:rPr>
        <w:t xml:space="preserve">litical opposition arguable leading to blocking the </w:t>
      </w:r>
      <w:r>
        <w:rPr>
          <w:rFonts w:asciiTheme="minorHAnsi" w:hAnsiTheme="minorHAnsi" w:cs="Courier New"/>
          <w:sz w:val="22"/>
          <w:szCs w:val="22"/>
        </w:rPr>
        <w:t>Transatlantic Trade and Investment Par</w:t>
      </w:r>
      <w:r>
        <w:rPr>
          <w:rFonts w:asciiTheme="minorHAnsi" w:hAnsiTheme="minorHAnsi" w:cs="Courier New"/>
          <w:sz w:val="22"/>
          <w:szCs w:val="22"/>
        </w:rPr>
        <w:t>t</w:t>
      </w:r>
      <w:r>
        <w:rPr>
          <w:rFonts w:asciiTheme="minorHAnsi" w:hAnsiTheme="minorHAnsi" w:cs="Courier New"/>
          <w:sz w:val="22"/>
          <w:szCs w:val="22"/>
        </w:rPr>
        <w:t xml:space="preserve">nership </w:t>
      </w:r>
      <w:r>
        <w:rPr>
          <w:rFonts w:asciiTheme="minorHAnsi" w:hAnsiTheme="minorHAnsi" w:cs="Courier New"/>
          <w:sz w:val="22"/>
          <w:szCs w:val="22"/>
        </w:rPr>
        <w:t>and almost scuppering the EU and Canada Comprehensive trade Agreement.</w:t>
      </w:r>
    </w:p>
    <w:p w:rsidR="002F1B13" w:rsidRDefault="00B13A0E" w:rsidP="00AE181D">
      <w:pPr>
        <w:pStyle w:val="PlainText"/>
        <w:spacing w:after="120" w:line="360" w:lineRule="auto"/>
        <w:jc w:val="both"/>
        <w:rPr>
          <w:rFonts w:asciiTheme="minorHAnsi" w:hAnsiTheme="minorHAnsi" w:cs="Courier New"/>
          <w:sz w:val="22"/>
          <w:szCs w:val="22"/>
        </w:rPr>
      </w:pPr>
      <w:r>
        <w:rPr>
          <w:rFonts w:asciiTheme="minorHAnsi" w:hAnsiTheme="minorHAnsi" w:cs="Courier New"/>
          <w:sz w:val="22"/>
          <w:szCs w:val="22"/>
        </w:rPr>
        <w:t xml:space="preserve">An important question is how effective are BITs in terms of supporting foreign investment, especially in light of the political sensitivities around ISDS clauses. </w:t>
      </w:r>
      <w:r>
        <w:rPr>
          <w:rFonts w:asciiTheme="minorHAnsi" w:hAnsiTheme="minorHAnsi" w:cs="Courier New"/>
          <w:sz w:val="22"/>
          <w:szCs w:val="22"/>
        </w:rPr>
        <w:t xml:space="preserve">This </w:t>
      </w:r>
      <w:r w:rsidRPr="00D01CD3">
        <w:rPr>
          <w:rFonts w:asciiTheme="minorHAnsi" w:hAnsiTheme="minorHAnsi" w:cs="Courier New"/>
          <w:sz w:val="22"/>
          <w:szCs w:val="22"/>
        </w:rPr>
        <w:t xml:space="preserve">study </w:t>
      </w:r>
      <w:r>
        <w:rPr>
          <w:rFonts w:asciiTheme="minorHAnsi" w:hAnsiTheme="minorHAnsi" w:cs="Courier New"/>
          <w:sz w:val="22"/>
          <w:szCs w:val="22"/>
        </w:rPr>
        <w:t xml:space="preserve">examines the </w:t>
      </w:r>
      <w:r>
        <w:rPr>
          <w:rFonts w:asciiTheme="minorHAnsi" w:hAnsiTheme="minorHAnsi" w:cs="Courier New"/>
          <w:sz w:val="22"/>
          <w:szCs w:val="22"/>
        </w:rPr>
        <w:t>legal provisions co</w:t>
      </w:r>
      <w:r>
        <w:rPr>
          <w:rFonts w:asciiTheme="minorHAnsi" w:hAnsiTheme="minorHAnsi" w:cs="Courier New"/>
          <w:sz w:val="22"/>
          <w:szCs w:val="22"/>
        </w:rPr>
        <w:t>n</w:t>
      </w:r>
      <w:r>
        <w:rPr>
          <w:rFonts w:asciiTheme="minorHAnsi" w:hAnsiTheme="minorHAnsi" w:cs="Courier New"/>
          <w:sz w:val="22"/>
          <w:szCs w:val="22"/>
        </w:rPr>
        <w:t xml:space="preserve">tained in </w:t>
      </w:r>
      <w:r w:rsidRPr="00D01CD3">
        <w:rPr>
          <w:rFonts w:asciiTheme="minorHAnsi" w:hAnsiTheme="minorHAnsi" w:cs="Courier New"/>
          <w:sz w:val="22"/>
          <w:szCs w:val="22"/>
        </w:rPr>
        <w:t xml:space="preserve">BITs </w:t>
      </w:r>
      <w:r>
        <w:rPr>
          <w:rFonts w:asciiTheme="minorHAnsi" w:hAnsiTheme="minorHAnsi" w:cs="Courier New"/>
          <w:sz w:val="22"/>
          <w:szCs w:val="22"/>
        </w:rPr>
        <w:t>and their ef</w:t>
      </w:r>
      <w:r w:rsidRPr="00D01CD3">
        <w:rPr>
          <w:rFonts w:asciiTheme="minorHAnsi" w:hAnsiTheme="minorHAnsi" w:cs="Courier New"/>
          <w:sz w:val="22"/>
          <w:szCs w:val="22"/>
        </w:rPr>
        <w:t>fect</w:t>
      </w:r>
      <w:r w:rsidRPr="00D01CD3">
        <w:rPr>
          <w:rFonts w:asciiTheme="minorHAnsi" w:hAnsiTheme="minorHAnsi" w:cs="Courier New"/>
          <w:sz w:val="22"/>
          <w:szCs w:val="22"/>
        </w:rPr>
        <w:t xml:space="preserve"> </w:t>
      </w:r>
      <w:r>
        <w:rPr>
          <w:rFonts w:asciiTheme="minorHAnsi" w:hAnsiTheme="minorHAnsi" w:cs="Courier New"/>
          <w:sz w:val="22"/>
          <w:szCs w:val="22"/>
        </w:rPr>
        <w:t xml:space="preserve">on </w:t>
      </w:r>
      <w:r>
        <w:rPr>
          <w:rFonts w:asciiTheme="minorHAnsi" w:hAnsiTheme="minorHAnsi" w:cs="Courier New"/>
          <w:sz w:val="22"/>
          <w:szCs w:val="22"/>
        </w:rPr>
        <w:t xml:space="preserve">foreign direct investment </w:t>
      </w:r>
      <w:r w:rsidRPr="00D01CD3">
        <w:rPr>
          <w:rFonts w:asciiTheme="minorHAnsi" w:hAnsiTheme="minorHAnsi" w:cs="Courier New"/>
          <w:sz w:val="22"/>
          <w:szCs w:val="22"/>
        </w:rPr>
        <w:t xml:space="preserve">inflows in OECD countries. </w:t>
      </w:r>
      <w:r>
        <w:rPr>
          <w:rFonts w:asciiTheme="minorHAnsi" w:hAnsiTheme="minorHAnsi" w:cs="Courier New"/>
          <w:sz w:val="22"/>
          <w:szCs w:val="22"/>
        </w:rPr>
        <w:t xml:space="preserve">We present a different argument to that in the existing literature whereby ISDS are included to reassure investors that governments in developing countries will not expropriate assets. Instead we argue that restrictive ISDS are important for advanced economies to prevent governments from using non-tariff regulations to protect domestic industries. </w:t>
      </w:r>
      <w:r w:rsidR="002F1B13">
        <w:rPr>
          <w:rFonts w:asciiTheme="minorHAnsi" w:hAnsiTheme="minorHAnsi" w:cs="Courier New"/>
          <w:sz w:val="22"/>
          <w:szCs w:val="22"/>
        </w:rPr>
        <w:t xml:space="preserve">We </w:t>
      </w:r>
      <w:r>
        <w:rPr>
          <w:rFonts w:asciiTheme="minorHAnsi" w:hAnsiTheme="minorHAnsi" w:cs="Courier New"/>
          <w:sz w:val="22"/>
          <w:szCs w:val="22"/>
        </w:rPr>
        <w:t xml:space="preserve">extend the </w:t>
      </w:r>
      <w:r w:rsidRPr="00D01CD3">
        <w:rPr>
          <w:rFonts w:asciiTheme="minorHAnsi" w:hAnsiTheme="minorHAnsi" w:cs="Courier New"/>
          <w:sz w:val="22"/>
          <w:szCs w:val="22"/>
        </w:rPr>
        <w:t>existing literature</w:t>
      </w:r>
      <w:r>
        <w:rPr>
          <w:rFonts w:asciiTheme="minorHAnsi" w:hAnsiTheme="minorHAnsi" w:cs="Courier New"/>
          <w:sz w:val="22"/>
          <w:szCs w:val="22"/>
        </w:rPr>
        <w:t xml:space="preserve"> on two counts: first</w:t>
      </w:r>
      <w:r w:rsidRPr="00D01CD3">
        <w:rPr>
          <w:rFonts w:asciiTheme="minorHAnsi" w:hAnsiTheme="minorHAnsi" w:cs="Courier New"/>
          <w:sz w:val="22"/>
          <w:szCs w:val="22"/>
        </w:rPr>
        <w:t xml:space="preserve">, </w:t>
      </w:r>
      <w:r>
        <w:rPr>
          <w:rFonts w:asciiTheme="minorHAnsi" w:hAnsiTheme="minorHAnsi" w:cs="Courier New"/>
          <w:sz w:val="22"/>
          <w:szCs w:val="22"/>
        </w:rPr>
        <w:t xml:space="preserve">we examine </w:t>
      </w:r>
      <w:r w:rsidR="002F1B13">
        <w:rPr>
          <w:rFonts w:asciiTheme="minorHAnsi" w:hAnsiTheme="minorHAnsi" w:cs="Courier New"/>
          <w:sz w:val="22"/>
          <w:szCs w:val="22"/>
        </w:rPr>
        <w:t>i</w:t>
      </w:r>
      <w:r w:rsidRPr="00D01CD3">
        <w:rPr>
          <w:rFonts w:asciiTheme="minorHAnsi" w:hAnsiTheme="minorHAnsi" w:cs="Courier New"/>
          <w:sz w:val="22"/>
          <w:szCs w:val="22"/>
        </w:rPr>
        <w:t>n</w:t>
      </w:r>
      <w:r w:rsidRPr="00D01CD3">
        <w:rPr>
          <w:rFonts w:asciiTheme="minorHAnsi" w:hAnsiTheme="minorHAnsi" w:cs="Courier New"/>
          <w:sz w:val="22"/>
          <w:szCs w:val="22"/>
        </w:rPr>
        <w:t>vest</w:t>
      </w:r>
      <w:r>
        <w:rPr>
          <w:rFonts w:asciiTheme="minorHAnsi" w:hAnsiTheme="minorHAnsi" w:cs="Courier New"/>
          <w:sz w:val="22"/>
          <w:szCs w:val="22"/>
        </w:rPr>
        <w:t xml:space="preserve">or </w:t>
      </w:r>
      <w:r w:rsidRPr="00D01CD3">
        <w:rPr>
          <w:rFonts w:asciiTheme="minorHAnsi" w:hAnsiTheme="minorHAnsi" w:cs="Courier New"/>
          <w:sz w:val="22"/>
          <w:szCs w:val="22"/>
        </w:rPr>
        <w:t xml:space="preserve">protection </w:t>
      </w:r>
      <w:r>
        <w:rPr>
          <w:rFonts w:asciiTheme="minorHAnsi" w:hAnsiTheme="minorHAnsi" w:cs="Courier New"/>
          <w:sz w:val="22"/>
          <w:szCs w:val="22"/>
        </w:rPr>
        <w:t>clauses contained in BITs and second we cover OECD</w:t>
      </w:r>
      <w:r w:rsidRPr="00D01CD3">
        <w:rPr>
          <w:rFonts w:asciiTheme="minorHAnsi" w:hAnsiTheme="minorHAnsi" w:cs="Courier New"/>
          <w:sz w:val="22"/>
          <w:szCs w:val="22"/>
        </w:rPr>
        <w:t xml:space="preserve"> economies</w:t>
      </w:r>
      <w:r>
        <w:rPr>
          <w:rFonts w:asciiTheme="minorHAnsi" w:hAnsiTheme="minorHAnsi" w:cs="Courier New"/>
          <w:sz w:val="22"/>
          <w:szCs w:val="22"/>
        </w:rPr>
        <w:t xml:space="preserve"> only</w:t>
      </w:r>
      <w:r w:rsidRPr="00D01CD3">
        <w:rPr>
          <w:rFonts w:asciiTheme="minorHAnsi" w:hAnsiTheme="minorHAnsi" w:cs="Courier New"/>
          <w:sz w:val="22"/>
          <w:szCs w:val="22"/>
        </w:rPr>
        <w:t>.</w:t>
      </w:r>
    </w:p>
    <w:p w:rsidR="002F1B13" w:rsidRDefault="00AE181D" w:rsidP="00AE181D">
      <w:pPr>
        <w:pStyle w:val="PlainText"/>
        <w:spacing w:after="120" w:line="360" w:lineRule="auto"/>
        <w:jc w:val="both"/>
        <w:rPr>
          <w:rFonts w:asciiTheme="minorHAnsi" w:hAnsiTheme="minorHAnsi" w:cs="Courier New"/>
          <w:sz w:val="22"/>
          <w:szCs w:val="22"/>
        </w:rPr>
      </w:pPr>
      <w:r>
        <w:rPr>
          <w:rFonts w:asciiTheme="minorHAnsi" w:hAnsiTheme="minorHAnsi" w:cs="Courier New"/>
          <w:sz w:val="22"/>
          <w:szCs w:val="22"/>
        </w:rPr>
        <w:t>Foreign direct investment (FDI) is particularly important to the UK. We are the third largest foreign d</w:t>
      </w:r>
      <w:r>
        <w:rPr>
          <w:rFonts w:asciiTheme="minorHAnsi" w:hAnsiTheme="minorHAnsi" w:cs="Courier New"/>
          <w:sz w:val="22"/>
          <w:szCs w:val="22"/>
        </w:rPr>
        <w:t>i</w:t>
      </w:r>
      <w:r>
        <w:rPr>
          <w:rFonts w:asciiTheme="minorHAnsi" w:hAnsiTheme="minorHAnsi" w:cs="Courier New"/>
          <w:sz w:val="22"/>
          <w:szCs w:val="22"/>
        </w:rPr>
        <w:t>rect investor and recipient in the world (behind the US and China), and the rest of the EU is our largest investment partner.</w:t>
      </w:r>
      <w:r w:rsidR="00C72196">
        <w:rPr>
          <w:rFonts w:asciiTheme="minorHAnsi" w:hAnsiTheme="minorHAnsi" w:cs="Courier New"/>
          <w:sz w:val="22"/>
          <w:szCs w:val="22"/>
        </w:rPr>
        <w:t xml:space="preserve"> Most of the UK’s foreign direct investment flows are associated with the services sector.</w:t>
      </w:r>
      <w:r w:rsidR="00C72196">
        <w:rPr>
          <w:rStyle w:val="FootnoteReference"/>
          <w:rFonts w:asciiTheme="minorHAnsi" w:hAnsiTheme="minorHAnsi" w:cs="Courier New"/>
          <w:sz w:val="22"/>
          <w:szCs w:val="22"/>
        </w:rPr>
        <w:footnoteReference w:id="4"/>
      </w:r>
      <w:r>
        <w:rPr>
          <w:rFonts w:asciiTheme="minorHAnsi" w:hAnsiTheme="minorHAnsi" w:cs="Courier New"/>
          <w:sz w:val="22"/>
          <w:szCs w:val="22"/>
        </w:rPr>
        <w:t xml:space="preserve"> </w:t>
      </w:r>
      <w:r w:rsidR="002F1B13">
        <w:rPr>
          <w:rFonts w:asciiTheme="minorHAnsi" w:hAnsiTheme="minorHAnsi" w:cs="Courier New"/>
          <w:sz w:val="22"/>
          <w:szCs w:val="22"/>
        </w:rPr>
        <w:t>Where investors have an overseas presence on the services sector this is particularly vulner</w:t>
      </w:r>
      <w:r w:rsidR="002F1B13">
        <w:rPr>
          <w:rFonts w:asciiTheme="minorHAnsi" w:hAnsiTheme="minorHAnsi" w:cs="Courier New"/>
          <w:sz w:val="22"/>
          <w:szCs w:val="22"/>
        </w:rPr>
        <w:t>a</w:t>
      </w:r>
      <w:r w:rsidR="002F1B13">
        <w:rPr>
          <w:rFonts w:asciiTheme="minorHAnsi" w:hAnsiTheme="minorHAnsi" w:cs="Courier New"/>
          <w:sz w:val="22"/>
          <w:szCs w:val="22"/>
        </w:rPr>
        <w:t>ble to non-tariff barriers (as services are generally less mobile than production processes). Therefore, the findings of this analysis may be especially relevant to the UK.</w:t>
      </w:r>
    </w:p>
    <w:p w:rsidR="005352EB" w:rsidRDefault="00AE181D" w:rsidP="00AE181D">
      <w:pPr>
        <w:pStyle w:val="PlainText"/>
        <w:spacing w:after="120" w:line="360" w:lineRule="auto"/>
        <w:jc w:val="both"/>
        <w:rPr>
          <w:rFonts w:asciiTheme="minorHAnsi" w:hAnsiTheme="minorHAnsi" w:cs="Courier New"/>
          <w:sz w:val="22"/>
          <w:szCs w:val="22"/>
        </w:rPr>
      </w:pPr>
      <w:r>
        <w:rPr>
          <w:rFonts w:asciiTheme="minorHAnsi" w:hAnsiTheme="minorHAnsi" w:cs="Courier New"/>
          <w:sz w:val="22"/>
          <w:szCs w:val="22"/>
        </w:rPr>
        <w:t>The EU has the exclusive competency for enforcing investment protection on behalf of</w:t>
      </w:r>
      <w:r w:rsidR="00C72196">
        <w:rPr>
          <w:rFonts w:asciiTheme="minorHAnsi" w:hAnsiTheme="minorHAnsi" w:cs="Courier New"/>
          <w:sz w:val="22"/>
          <w:szCs w:val="22"/>
        </w:rPr>
        <w:t xml:space="preserve"> </w:t>
      </w:r>
      <w:r>
        <w:rPr>
          <w:rFonts w:asciiTheme="minorHAnsi" w:hAnsiTheme="minorHAnsi" w:cs="Courier New"/>
          <w:sz w:val="22"/>
          <w:szCs w:val="22"/>
        </w:rPr>
        <w:t xml:space="preserve">Member States. After leaving the EU, the UK will have to decide whether to enter into a Preferential Trade Agreement (PTA) with the EU and other countries which may contain investment provisions. The UK may also seek to augment </w:t>
      </w:r>
      <w:r w:rsidR="00C72196">
        <w:rPr>
          <w:rFonts w:asciiTheme="minorHAnsi" w:hAnsiTheme="minorHAnsi" w:cs="Courier New"/>
          <w:sz w:val="22"/>
          <w:szCs w:val="22"/>
        </w:rPr>
        <w:t xml:space="preserve">its </w:t>
      </w:r>
      <w:r>
        <w:rPr>
          <w:rFonts w:asciiTheme="minorHAnsi" w:hAnsiTheme="minorHAnsi" w:cs="Courier New"/>
          <w:sz w:val="22"/>
          <w:szCs w:val="22"/>
        </w:rPr>
        <w:t>PTA</w:t>
      </w:r>
      <w:r w:rsidR="00C72196">
        <w:rPr>
          <w:rFonts w:asciiTheme="minorHAnsi" w:hAnsiTheme="minorHAnsi" w:cs="Courier New"/>
          <w:sz w:val="22"/>
          <w:szCs w:val="22"/>
        </w:rPr>
        <w:t>s</w:t>
      </w:r>
      <w:r>
        <w:rPr>
          <w:rFonts w:asciiTheme="minorHAnsi" w:hAnsiTheme="minorHAnsi" w:cs="Courier New"/>
          <w:sz w:val="22"/>
          <w:szCs w:val="22"/>
        </w:rPr>
        <w:t xml:space="preserve"> with BIT</w:t>
      </w:r>
      <w:r w:rsidR="00C72196">
        <w:rPr>
          <w:rFonts w:asciiTheme="minorHAnsi" w:hAnsiTheme="minorHAnsi" w:cs="Courier New"/>
          <w:sz w:val="22"/>
          <w:szCs w:val="22"/>
        </w:rPr>
        <w:t>s</w:t>
      </w:r>
      <w:r>
        <w:rPr>
          <w:rFonts w:asciiTheme="minorHAnsi" w:hAnsiTheme="minorHAnsi" w:cs="Courier New"/>
          <w:sz w:val="22"/>
          <w:szCs w:val="22"/>
        </w:rPr>
        <w:t xml:space="preserve"> and even ISDS</w:t>
      </w:r>
      <w:r w:rsidR="00C72196">
        <w:rPr>
          <w:rFonts w:asciiTheme="minorHAnsi" w:hAnsiTheme="minorHAnsi" w:cs="Courier New"/>
          <w:sz w:val="22"/>
          <w:szCs w:val="22"/>
        </w:rPr>
        <w:t xml:space="preserve"> </w:t>
      </w:r>
      <w:r w:rsidR="002F1B13">
        <w:rPr>
          <w:rFonts w:asciiTheme="minorHAnsi" w:hAnsiTheme="minorHAnsi" w:cs="Courier New"/>
          <w:sz w:val="22"/>
          <w:szCs w:val="22"/>
        </w:rPr>
        <w:t>mechanisms</w:t>
      </w:r>
      <w:r>
        <w:rPr>
          <w:rFonts w:asciiTheme="minorHAnsi" w:hAnsiTheme="minorHAnsi" w:cs="Courier New"/>
          <w:sz w:val="22"/>
          <w:szCs w:val="22"/>
        </w:rPr>
        <w:t>. However, p</w:t>
      </w:r>
      <w:r w:rsidRPr="00D01CD3">
        <w:rPr>
          <w:rFonts w:asciiTheme="minorHAnsi" w:hAnsiTheme="minorHAnsi" w:cs="Courier New"/>
          <w:sz w:val="22"/>
          <w:szCs w:val="22"/>
        </w:rPr>
        <w:t>opular opi</w:t>
      </w:r>
      <w:r w:rsidRPr="00D01CD3">
        <w:rPr>
          <w:rFonts w:asciiTheme="minorHAnsi" w:hAnsiTheme="minorHAnsi" w:cs="Courier New"/>
          <w:sz w:val="22"/>
          <w:szCs w:val="22"/>
        </w:rPr>
        <w:t>n</w:t>
      </w:r>
      <w:r w:rsidRPr="00D01CD3">
        <w:rPr>
          <w:rFonts w:asciiTheme="minorHAnsi" w:hAnsiTheme="minorHAnsi" w:cs="Courier New"/>
          <w:sz w:val="22"/>
          <w:szCs w:val="22"/>
        </w:rPr>
        <w:t xml:space="preserve">ion </w:t>
      </w:r>
      <w:r>
        <w:rPr>
          <w:rFonts w:asciiTheme="minorHAnsi" w:hAnsiTheme="minorHAnsi" w:cs="Courier New"/>
          <w:sz w:val="22"/>
          <w:szCs w:val="22"/>
        </w:rPr>
        <w:t xml:space="preserve">often </w:t>
      </w:r>
      <w:r w:rsidR="004C5247">
        <w:rPr>
          <w:rFonts w:asciiTheme="minorHAnsi" w:hAnsiTheme="minorHAnsi" w:cs="Courier New"/>
          <w:sz w:val="22"/>
          <w:szCs w:val="22"/>
        </w:rPr>
        <w:t xml:space="preserve">sees </w:t>
      </w:r>
      <w:r>
        <w:rPr>
          <w:rFonts w:asciiTheme="minorHAnsi" w:hAnsiTheme="minorHAnsi" w:cs="Courier New"/>
          <w:sz w:val="22"/>
          <w:szCs w:val="22"/>
        </w:rPr>
        <w:t xml:space="preserve">ISDS </w:t>
      </w:r>
      <w:r w:rsidRPr="00D01CD3">
        <w:rPr>
          <w:rFonts w:asciiTheme="minorHAnsi" w:hAnsiTheme="minorHAnsi" w:cs="Courier New"/>
          <w:sz w:val="22"/>
          <w:szCs w:val="22"/>
        </w:rPr>
        <w:t xml:space="preserve">as </w:t>
      </w:r>
      <w:r>
        <w:rPr>
          <w:rFonts w:asciiTheme="minorHAnsi" w:hAnsiTheme="minorHAnsi" w:cs="Courier New"/>
          <w:sz w:val="22"/>
          <w:szCs w:val="22"/>
        </w:rPr>
        <w:t xml:space="preserve">conceding </w:t>
      </w:r>
      <w:r w:rsidRPr="00D01CD3">
        <w:rPr>
          <w:rFonts w:asciiTheme="minorHAnsi" w:hAnsiTheme="minorHAnsi" w:cs="Courier New"/>
          <w:sz w:val="22"/>
          <w:szCs w:val="22"/>
        </w:rPr>
        <w:t xml:space="preserve">sovereignty </w:t>
      </w:r>
      <w:r w:rsidR="004C5247">
        <w:rPr>
          <w:rFonts w:asciiTheme="minorHAnsi" w:hAnsiTheme="minorHAnsi" w:cs="Courier New"/>
          <w:sz w:val="22"/>
          <w:szCs w:val="22"/>
        </w:rPr>
        <w:t xml:space="preserve">as they involve transferring power </w:t>
      </w:r>
      <w:r w:rsidRPr="00D01CD3">
        <w:rPr>
          <w:rFonts w:asciiTheme="minorHAnsi" w:hAnsiTheme="minorHAnsi" w:cs="Courier New"/>
          <w:sz w:val="22"/>
          <w:szCs w:val="22"/>
        </w:rPr>
        <w:t xml:space="preserve">from a national court to an international </w:t>
      </w:r>
      <w:r w:rsidR="004C5247">
        <w:rPr>
          <w:rFonts w:asciiTheme="minorHAnsi" w:hAnsiTheme="minorHAnsi" w:cs="Courier New"/>
          <w:sz w:val="22"/>
          <w:szCs w:val="22"/>
        </w:rPr>
        <w:t>court (as is the case with the European Court of Justice)</w:t>
      </w:r>
      <w:r>
        <w:rPr>
          <w:rFonts w:asciiTheme="minorHAnsi" w:hAnsiTheme="minorHAnsi" w:cs="Courier New"/>
          <w:sz w:val="22"/>
          <w:szCs w:val="22"/>
        </w:rPr>
        <w:t xml:space="preserve">. </w:t>
      </w:r>
      <w:r w:rsidR="002F1B13">
        <w:rPr>
          <w:rFonts w:asciiTheme="minorHAnsi" w:hAnsiTheme="minorHAnsi" w:cs="Courier New"/>
          <w:sz w:val="22"/>
          <w:szCs w:val="22"/>
        </w:rPr>
        <w:t xml:space="preserve">One could even interpret the </w:t>
      </w:r>
      <w:r w:rsidR="005352EB">
        <w:rPr>
          <w:rFonts w:asciiTheme="minorHAnsi" w:hAnsiTheme="minorHAnsi" w:cs="Courier New"/>
          <w:sz w:val="22"/>
          <w:szCs w:val="22"/>
        </w:rPr>
        <w:t>supremacy of EU Law and role of the European Court of Justice (ECJ) as a supreme from of ISDS mechanism and ther</w:t>
      </w:r>
      <w:r w:rsidR="005352EB">
        <w:rPr>
          <w:rFonts w:asciiTheme="minorHAnsi" w:hAnsiTheme="minorHAnsi" w:cs="Courier New"/>
          <w:sz w:val="22"/>
          <w:szCs w:val="22"/>
        </w:rPr>
        <w:t>e</w:t>
      </w:r>
      <w:r w:rsidR="005352EB">
        <w:rPr>
          <w:rFonts w:asciiTheme="minorHAnsi" w:hAnsiTheme="minorHAnsi" w:cs="Courier New"/>
          <w:sz w:val="22"/>
          <w:szCs w:val="22"/>
        </w:rPr>
        <w:t>fore able to enforce the rules of the Single Market. However, Member States are ult</w:t>
      </w:r>
      <w:r w:rsidR="005352EB">
        <w:rPr>
          <w:rFonts w:asciiTheme="minorHAnsi" w:hAnsiTheme="minorHAnsi" w:cs="Courier New"/>
          <w:sz w:val="22"/>
          <w:szCs w:val="22"/>
        </w:rPr>
        <w:t>i</w:t>
      </w:r>
      <w:r w:rsidR="005352EB">
        <w:rPr>
          <w:rFonts w:asciiTheme="minorHAnsi" w:hAnsiTheme="minorHAnsi" w:cs="Courier New"/>
          <w:sz w:val="22"/>
          <w:szCs w:val="22"/>
        </w:rPr>
        <w:t>mately in charge of the governance of the ECJ. Restrictive clauses around the ISDS remove this ove</w:t>
      </w:r>
      <w:r w:rsidR="005352EB">
        <w:rPr>
          <w:rFonts w:asciiTheme="minorHAnsi" w:hAnsiTheme="minorHAnsi" w:cs="Courier New"/>
          <w:sz w:val="22"/>
          <w:szCs w:val="22"/>
        </w:rPr>
        <w:t>r</w:t>
      </w:r>
      <w:r w:rsidR="005352EB">
        <w:rPr>
          <w:rFonts w:asciiTheme="minorHAnsi" w:hAnsiTheme="minorHAnsi" w:cs="Courier New"/>
          <w:sz w:val="22"/>
          <w:szCs w:val="22"/>
        </w:rPr>
        <w:t xml:space="preserve">sight. </w:t>
      </w:r>
    </w:p>
    <w:p w:rsidR="00AE181D" w:rsidRPr="00D01CD3" w:rsidRDefault="00AE181D" w:rsidP="00AE181D">
      <w:pPr>
        <w:pStyle w:val="PlainText"/>
        <w:spacing w:after="120" w:line="360" w:lineRule="auto"/>
        <w:jc w:val="both"/>
        <w:rPr>
          <w:rFonts w:asciiTheme="minorHAnsi" w:hAnsiTheme="minorHAnsi" w:cs="Courier New"/>
          <w:sz w:val="22"/>
          <w:szCs w:val="22"/>
        </w:rPr>
      </w:pPr>
      <w:r>
        <w:rPr>
          <w:rFonts w:asciiTheme="minorHAnsi" w:hAnsiTheme="minorHAnsi" w:cs="Courier New"/>
          <w:sz w:val="22"/>
          <w:szCs w:val="22"/>
        </w:rPr>
        <w:t xml:space="preserve">This study looks at whether BITs, in particular specific ISDS </w:t>
      </w:r>
      <w:r w:rsidR="005352EB">
        <w:rPr>
          <w:rFonts w:asciiTheme="minorHAnsi" w:hAnsiTheme="minorHAnsi" w:cs="Courier New"/>
          <w:sz w:val="22"/>
          <w:szCs w:val="22"/>
        </w:rPr>
        <w:t xml:space="preserve">legal </w:t>
      </w:r>
      <w:r>
        <w:rPr>
          <w:rFonts w:asciiTheme="minorHAnsi" w:hAnsiTheme="minorHAnsi" w:cs="Courier New"/>
          <w:sz w:val="22"/>
          <w:szCs w:val="22"/>
        </w:rPr>
        <w:t>provisions, have a significant impact on d</w:t>
      </w:r>
      <w:r>
        <w:rPr>
          <w:rFonts w:asciiTheme="minorHAnsi" w:hAnsiTheme="minorHAnsi" w:cs="Courier New"/>
          <w:sz w:val="22"/>
          <w:szCs w:val="22"/>
        </w:rPr>
        <w:t>i</w:t>
      </w:r>
      <w:r>
        <w:rPr>
          <w:rFonts w:asciiTheme="minorHAnsi" w:hAnsiTheme="minorHAnsi" w:cs="Courier New"/>
          <w:sz w:val="22"/>
          <w:szCs w:val="22"/>
        </w:rPr>
        <w:t>rect investment flows in OECD countries. The</w:t>
      </w:r>
      <w:r w:rsidRPr="00D01CD3">
        <w:rPr>
          <w:rFonts w:asciiTheme="minorHAnsi" w:hAnsiTheme="minorHAnsi" w:cs="Courier New"/>
          <w:sz w:val="22"/>
          <w:szCs w:val="22"/>
        </w:rPr>
        <w:t xml:space="preserve"> </w:t>
      </w:r>
      <w:r>
        <w:rPr>
          <w:rFonts w:asciiTheme="minorHAnsi" w:hAnsiTheme="minorHAnsi" w:cs="Courier New"/>
          <w:sz w:val="22"/>
          <w:szCs w:val="22"/>
        </w:rPr>
        <w:t xml:space="preserve">existing </w:t>
      </w:r>
      <w:r w:rsidRPr="00D01CD3">
        <w:rPr>
          <w:rFonts w:asciiTheme="minorHAnsi" w:hAnsiTheme="minorHAnsi" w:cs="Courier New"/>
          <w:sz w:val="22"/>
          <w:szCs w:val="22"/>
        </w:rPr>
        <w:t xml:space="preserve">literature on causal links between such BITs and FDI </w:t>
      </w:r>
      <w:r w:rsidR="004C5247">
        <w:rPr>
          <w:rFonts w:asciiTheme="minorHAnsi" w:hAnsiTheme="minorHAnsi" w:cs="Courier New"/>
          <w:sz w:val="22"/>
          <w:szCs w:val="22"/>
        </w:rPr>
        <w:t xml:space="preserve">considers </w:t>
      </w:r>
      <w:r w:rsidRPr="00D01CD3">
        <w:rPr>
          <w:rFonts w:asciiTheme="minorHAnsi" w:hAnsiTheme="minorHAnsi" w:cs="Courier New"/>
          <w:sz w:val="22"/>
          <w:szCs w:val="22"/>
        </w:rPr>
        <w:t xml:space="preserve">whether </w:t>
      </w:r>
      <w:r>
        <w:rPr>
          <w:rFonts w:asciiTheme="minorHAnsi" w:hAnsiTheme="minorHAnsi" w:cs="Courier New"/>
          <w:sz w:val="22"/>
          <w:szCs w:val="22"/>
        </w:rPr>
        <w:t>the concession of sovereignty is worth paying for greater investment</w:t>
      </w:r>
      <w:r w:rsidR="004C5247">
        <w:rPr>
          <w:rFonts w:asciiTheme="minorHAnsi" w:hAnsiTheme="minorHAnsi" w:cs="Courier New"/>
          <w:sz w:val="22"/>
          <w:szCs w:val="22"/>
        </w:rPr>
        <w:t xml:space="preserve"> </w:t>
      </w:r>
      <w:r w:rsidRPr="00D01CD3">
        <w:rPr>
          <w:rFonts w:asciiTheme="minorHAnsi" w:hAnsiTheme="minorHAnsi" w:cs="Courier New"/>
          <w:sz w:val="22"/>
          <w:szCs w:val="22"/>
        </w:rPr>
        <w:t>in the co</w:t>
      </w:r>
      <w:r w:rsidRPr="00D01CD3">
        <w:rPr>
          <w:rFonts w:asciiTheme="minorHAnsi" w:hAnsiTheme="minorHAnsi" w:cs="Courier New"/>
          <w:sz w:val="22"/>
          <w:szCs w:val="22"/>
        </w:rPr>
        <w:t>n</w:t>
      </w:r>
      <w:r w:rsidRPr="00D01CD3">
        <w:rPr>
          <w:rFonts w:asciiTheme="minorHAnsi" w:hAnsiTheme="minorHAnsi" w:cs="Courier New"/>
          <w:sz w:val="22"/>
          <w:szCs w:val="22"/>
        </w:rPr>
        <w:t xml:space="preserve">text of developing countries. </w:t>
      </w:r>
      <w:r w:rsidR="004C5247">
        <w:rPr>
          <w:rFonts w:asciiTheme="minorHAnsi" w:hAnsiTheme="minorHAnsi" w:cs="Courier New"/>
          <w:sz w:val="22"/>
          <w:szCs w:val="22"/>
        </w:rPr>
        <w:t>Such c</w:t>
      </w:r>
      <w:r w:rsidRPr="00D01CD3">
        <w:rPr>
          <w:rFonts w:asciiTheme="minorHAnsi" w:hAnsiTheme="minorHAnsi" w:cs="Courier New"/>
          <w:sz w:val="22"/>
          <w:szCs w:val="22"/>
        </w:rPr>
        <w:t>ountries</w:t>
      </w:r>
      <w:r>
        <w:rPr>
          <w:rFonts w:asciiTheme="minorHAnsi" w:hAnsiTheme="minorHAnsi" w:cs="Courier New"/>
          <w:sz w:val="22"/>
          <w:szCs w:val="22"/>
        </w:rPr>
        <w:t xml:space="preserve"> </w:t>
      </w:r>
      <w:r w:rsidR="004C5247">
        <w:rPr>
          <w:rFonts w:asciiTheme="minorHAnsi" w:hAnsiTheme="minorHAnsi" w:cs="Courier New"/>
          <w:sz w:val="22"/>
          <w:szCs w:val="22"/>
        </w:rPr>
        <w:t xml:space="preserve">often have unstable </w:t>
      </w:r>
      <w:r w:rsidRPr="00D01CD3">
        <w:rPr>
          <w:rFonts w:asciiTheme="minorHAnsi" w:hAnsiTheme="minorHAnsi" w:cs="Courier New"/>
          <w:sz w:val="22"/>
          <w:szCs w:val="22"/>
        </w:rPr>
        <w:t>political regimes</w:t>
      </w:r>
      <w:r>
        <w:rPr>
          <w:rFonts w:asciiTheme="minorHAnsi" w:hAnsiTheme="minorHAnsi" w:cs="Courier New"/>
          <w:sz w:val="22"/>
          <w:szCs w:val="22"/>
        </w:rPr>
        <w:t xml:space="preserve"> </w:t>
      </w:r>
      <w:r w:rsidR="004C5247">
        <w:rPr>
          <w:rFonts w:asciiTheme="minorHAnsi" w:hAnsiTheme="minorHAnsi" w:cs="Courier New"/>
          <w:sz w:val="22"/>
          <w:szCs w:val="22"/>
        </w:rPr>
        <w:t xml:space="preserve">and so choose to </w:t>
      </w:r>
      <w:r w:rsidRPr="00D01CD3">
        <w:rPr>
          <w:rFonts w:asciiTheme="minorHAnsi" w:hAnsiTheme="minorHAnsi" w:cs="Courier New"/>
          <w:sz w:val="22"/>
          <w:szCs w:val="22"/>
        </w:rPr>
        <w:t xml:space="preserve">bind themselves to a third party court via a BIT to </w:t>
      </w:r>
      <w:r w:rsidR="004C5247">
        <w:rPr>
          <w:rFonts w:asciiTheme="minorHAnsi" w:hAnsiTheme="minorHAnsi" w:cs="Courier New"/>
          <w:sz w:val="22"/>
          <w:szCs w:val="22"/>
        </w:rPr>
        <w:t xml:space="preserve">reassure </w:t>
      </w:r>
      <w:r w:rsidRPr="00D01CD3">
        <w:rPr>
          <w:rFonts w:asciiTheme="minorHAnsi" w:hAnsiTheme="minorHAnsi" w:cs="Courier New"/>
          <w:sz w:val="22"/>
          <w:szCs w:val="22"/>
        </w:rPr>
        <w:t>foreign invest</w:t>
      </w:r>
      <w:r w:rsidR="004C5247">
        <w:rPr>
          <w:rFonts w:asciiTheme="minorHAnsi" w:hAnsiTheme="minorHAnsi" w:cs="Courier New"/>
          <w:sz w:val="22"/>
          <w:szCs w:val="22"/>
        </w:rPr>
        <w:t>ors</w:t>
      </w:r>
      <w:r w:rsidRPr="00D01CD3">
        <w:rPr>
          <w:rFonts w:asciiTheme="minorHAnsi" w:hAnsiTheme="minorHAnsi" w:cs="Courier New"/>
          <w:sz w:val="22"/>
          <w:szCs w:val="22"/>
        </w:rPr>
        <w:t xml:space="preserve">. However, it is difficult to comment on the literature's conclusions, since their findings are often contradictory. Furthermore, the </w:t>
      </w:r>
      <w:r w:rsidRPr="00D01CD3">
        <w:rPr>
          <w:rFonts w:asciiTheme="minorHAnsi" w:hAnsiTheme="minorHAnsi" w:cs="Courier New"/>
          <w:sz w:val="22"/>
          <w:szCs w:val="22"/>
        </w:rPr>
        <w:lastRenderedPageBreak/>
        <w:t xml:space="preserve">relevance of such treaties for advanced economies, </w:t>
      </w:r>
      <w:r w:rsidR="004C5247">
        <w:rPr>
          <w:rFonts w:asciiTheme="minorHAnsi" w:hAnsiTheme="minorHAnsi" w:cs="Courier New"/>
          <w:sz w:val="22"/>
          <w:szCs w:val="22"/>
        </w:rPr>
        <w:t xml:space="preserve">in </w:t>
      </w:r>
      <w:r w:rsidRPr="00D01CD3">
        <w:rPr>
          <w:rFonts w:asciiTheme="minorHAnsi" w:hAnsiTheme="minorHAnsi" w:cs="Courier New"/>
          <w:sz w:val="22"/>
          <w:szCs w:val="22"/>
        </w:rPr>
        <w:t xml:space="preserve">which public outcry against a loss of sovereignty to foreign powers has been particularly vocal, is disregarded. </w:t>
      </w:r>
    </w:p>
    <w:p w:rsidR="00AE181D" w:rsidRPr="00D01CD3" w:rsidRDefault="00AE181D" w:rsidP="00AE181D">
      <w:pPr>
        <w:pStyle w:val="PlainText"/>
        <w:spacing w:after="120" w:line="360" w:lineRule="auto"/>
        <w:jc w:val="both"/>
        <w:rPr>
          <w:rFonts w:asciiTheme="minorHAnsi" w:hAnsiTheme="minorHAnsi" w:cs="Courier New"/>
          <w:sz w:val="22"/>
          <w:szCs w:val="22"/>
        </w:rPr>
      </w:pPr>
      <w:r w:rsidRPr="00D01CD3">
        <w:rPr>
          <w:rFonts w:asciiTheme="minorHAnsi" w:hAnsiTheme="minorHAnsi" w:cs="Courier New"/>
          <w:sz w:val="22"/>
          <w:szCs w:val="22"/>
        </w:rPr>
        <w:t xml:space="preserve">Moreover, the literature on FDI itself throws into question large parts of the basic understanding of investment flows; FDI may be more interdependent on trade than acknowledged in </w:t>
      </w:r>
      <w:r w:rsidR="004C5247">
        <w:rPr>
          <w:rFonts w:asciiTheme="minorHAnsi" w:hAnsiTheme="minorHAnsi" w:cs="Courier New"/>
          <w:sz w:val="22"/>
          <w:szCs w:val="22"/>
        </w:rPr>
        <w:t xml:space="preserve">investment </w:t>
      </w:r>
      <w:r w:rsidRPr="00D01CD3">
        <w:rPr>
          <w:rFonts w:asciiTheme="minorHAnsi" w:hAnsiTheme="minorHAnsi" w:cs="Courier New"/>
          <w:sz w:val="22"/>
          <w:szCs w:val="22"/>
        </w:rPr>
        <w:t>gravity models that feature in the literature. Antr</w:t>
      </w:r>
      <w:r>
        <w:rPr>
          <w:rFonts w:asciiTheme="minorHAnsi" w:hAnsiTheme="minorHAnsi" w:cs="Courier New"/>
          <w:sz w:val="22"/>
          <w:szCs w:val="22"/>
        </w:rPr>
        <w:t>à</w:t>
      </w:r>
      <w:r w:rsidR="00B05451">
        <w:rPr>
          <w:rFonts w:asciiTheme="minorHAnsi" w:hAnsiTheme="minorHAnsi" w:cs="Courier New"/>
          <w:sz w:val="22"/>
          <w:szCs w:val="22"/>
        </w:rPr>
        <w:t>s and Yeaple (2013) give</w:t>
      </w:r>
      <w:r w:rsidRPr="00D01CD3">
        <w:rPr>
          <w:rFonts w:asciiTheme="minorHAnsi" w:hAnsiTheme="minorHAnsi" w:cs="Courier New"/>
          <w:sz w:val="22"/>
          <w:szCs w:val="22"/>
        </w:rPr>
        <w:t xml:space="preserve"> a detailed overview of how FDI, in its various forms, depends on a country's ability to produce and trade. </w:t>
      </w:r>
      <w:r>
        <w:rPr>
          <w:rFonts w:asciiTheme="minorHAnsi" w:hAnsiTheme="minorHAnsi" w:cs="Courier New"/>
          <w:sz w:val="22"/>
          <w:szCs w:val="22"/>
        </w:rPr>
        <w:t>A</w:t>
      </w:r>
      <w:r w:rsidRPr="00D01CD3">
        <w:rPr>
          <w:rFonts w:asciiTheme="minorHAnsi" w:hAnsiTheme="minorHAnsi" w:cs="Courier New"/>
          <w:sz w:val="22"/>
          <w:szCs w:val="22"/>
        </w:rPr>
        <w:t xml:space="preserve"> distinction is drawn between market-seeking FDI, by which foreign subsidiaries sell their parent firm's goods </w:t>
      </w:r>
      <w:r w:rsidR="005352EB">
        <w:rPr>
          <w:rFonts w:asciiTheme="minorHAnsi" w:hAnsiTheme="minorHAnsi" w:cs="Courier New"/>
          <w:sz w:val="22"/>
          <w:szCs w:val="22"/>
        </w:rPr>
        <w:t xml:space="preserve">and services </w:t>
      </w:r>
      <w:r w:rsidRPr="00D01CD3">
        <w:rPr>
          <w:rFonts w:asciiTheme="minorHAnsi" w:hAnsiTheme="minorHAnsi" w:cs="Courier New"/>
          <w:sz w:val="22"/>
          <w:szCs w:val="22"/>
        </w:rPr>
        <w:t>abroad,</w:t>
      </w:r>
      <w:r w:rsidR="005352EB">
        <w:rPr>
          <w:rFonts w:asciiTheme="minorHAnsi" w:hAnsiTheme="minorHAnsi" w:cs="Courier New"/>
          <w:sz w:val="22"/>
          <w:szCs w:val="22"/>
        </w:rPr>
        <w:t xml:space="preserve"> making them more vulnerable to protectionism,</w:t>
      </w:r>
      <w:r w:rsidRPr="00D01CD3">
        <w:rPr>
          <w:rFonts w:asciiTheme="minorHAnsi" w:hAnsiTheme="minorHAnsi" w:cs="Courier New"/>
          <w:sz w:val="22"/>
          <w:szCs w:val="22"/>
        </w:rPr>
        <w:t xml:space="preserve"> and efficiency-seeking FDI, by which foreign subsidia</w:t>
      </w:r>
      <w:r w:rsidRPr="00D01CD3">
        <w:rPr>
          <w:rFonts w:asciiTheme="minorHAnsi" w:hAnsiTheme="minorHAnsi" w:cs="Courier New"/>
          <w:sz w:val="22"/>
          <w:szCs w:val="22"/>
        </w:rPr>
        <w:t>r</w:t>
      </w:r>
      <w:r w:rsidRPr="00D01CD3">
        <w:rPr>
          <w:rFonts w:asciiTheme="minorHAnsi" w:hAnsiTheme="minorHAnsi" w:cs="Courier New"/>
          <w:sz w:val="22"/>
          <w:szCs w:val="22"/>
        </w:rPr>
        <w:t>ies produce parts and components ultimately traded back to the parent firm for final assembly.</w:t>
      </w:r>
    </w:p>
    <w:p w:rsidR="00AE181D" w:rsidRPr="00D01CD3" w:rsidRDefault="004C5247" w:rsidP="00AE181D">
      <w:pPr>
        <w:pStyle w:val="PlainText"/>
        <w:spacing w:after="120" w:line="360" w:lineRule="auto"/>
        <w:jc w:val="both"/>
        <w:rPr>
          <w:rFonts w:asciiTheme="minorHAnsi" w:hAnsiTheme="minorHAnsi" w:cs="Courier New"/>
          <w:sz w:val="22"/>
          <w:szCs w:val="22"/>
        </w:rPr>
      </w:pPr>
      <w:r>
        <w:rPr>
          <w:rFonts w:asciiTheme="minorHAnsi" w:hAnsiTheme="minorHAnsi" w:cs="Courier New"/>
          <w:sz w:val="22"/>
          <w:szCs w:val="22"/>
        </w:rPr>
        <w:t>In</w:t>
      </w:r>
      <w:r w:rsidR="00AE181D" w:rsidRPr="00D01CD3">
        <w:rPr>
          <w:rFonts w:asciiTheme="minorHAnsi" w:hAnsiTheme="minorHAnsi" w:cs="Courier New"/>
          <w:sz w:val="22"/>
          <w:szCs w:val="22"/>
        </w:rPr>
        <w:t xml:space="preserve"> th</w:t>
      </w:r>
      <w:r w:rsidR="00AE181D">
        <w:rPr>
          <w:rFonts w:asciiTheme="minorHAnsi" w:hAnsiTheme="minorHAnsi" w:cs="Courier New"/>
          <w:sz w:val="22"/>
          <w:szCs w:val="22"/>
        </w:rPr>
        <w:t xml:space="preserve">is </w:t>
      </w:r>
      <w:r w:rsidR="00AE181D" w:rsidRPr="00D01CD3">
        <w:rPr>
          <w:rFonts w:asciiTheme="minorHAnsi" w:hAnsiTheme="minorHAnsi" w:cs="Courier New"/>
          <w:sz w:val="22"/>
          <w:szCs w:val="22"/>
        </w:rPr>
        <w:t>paper</w:t>
      </w:r>
      <w:r w:rsidR="00AE181D">
        <w:rPr>
          <w:rFonts w:asciiTheme="minorHAnsi" w:hAnsiTheme="minorHAnsi" w:cs="Courier New"/>
          <w:sz w:val="22"/>
          <w:szCs w:val="22"/>
        </w:rPr>
        <w:t xml:space="preserve"> </w:t>
      </w:r>
      <w:r>
        <w:rPr>
          <w:rFonts w:asciiTheme="minorHAnsi" w:hAnsiTheme="minorHAnsi" w:cs="Courier New"/>
          <w:sz w:val="22"/>
          <w:szCs w:val="22"/>
        </w:rPr>
        <w:t xml:space="preserve">we examine the </w:t>
      </w:r>
      <w:r w:rsidR="00AE181D" w:rsidRPr="00D01CD3">
        <w:rPr>
          <w:rFonts w:asciiTheme="minorHAnsi" w:hAnsiTheme="minorHAnsi" w:cs="Courier New"/>
          <w:sz w:val="22"/>
          <w:szCs w:val="22"/>
        </w:rPr>
        <w:t xml:space="preserve">link between BITs and FDI in OECD </w:t>
      </w:r>
      <w:r>
        <w:rPr>
          <w:rFonts w:asciiTheme="minorHAnsi" w:hAnsiTheme="minorHAnsi" w:cs="Courier New"/>
          <w:sz w:val="22"/>
          <w:szCs w:val="22"/>
        </w:rPr>
        <w:t>countries</w:t>
      </w:r>
      <w:r w:rsidR="00AE181D" w:rsidRPr="00D01CD3">
        <w:rPr>
          <w:rFonts w:asciiTheme="minorHAnsi" w:hAnsiTheme="minorHAnsi" w:cs="Courier New"/>
          <w:sz w:val="22"/>
          <w:szCs w:val="22"/>
        </w:rPr>
        <w:t xml:space="preserve">. </w:t>
      </w:r>
      <w:r>
        <w:rPr>
          <w:rFonts w:asciiTheme="minorHAnsi" w:hAnsiTheme="minorHAnsi" w:cs="Courier New"/>
          <w:sz w:val="22"/>
          <w:szCs w:val="22"/>
        </w:rPr>
        <w:t>We use a</w:t>
      </w:r>
      <w:r w:rsidR="00AE181D" w:rsidRPr="00D01CD3">
        <w:rPr>
          <w:rFonts w:asciiTheme="minorHAnsi" w:hAnsiTheme="minorHAnsi" w:cs="Courier New"/>
          <w:sz w:val="22"/>
          <w:szCs w:val="22"/>
        </w:rPr>
        <w:t>n augmented gra</w:t>
      </w:r>
      <w:r w:rsidR="00AE181D" w:rsidRPr="00D01CD3">
        <w:rPr>
          <w:rFonts w:asciiTheme="minorHAnsi" w:hAnsiTheme="minorHAnsi" w:cs="Courier New"/>
          <w:sz w:val="22"/>
          <w:szCs w:val="22"/>
        </w:rPr>
        <w:t>v</w:t>
      </w:r>
      <w:r w:rsidR="00AE181D" w:rsidRPr="00D01CD3">
        <w:rPr>
          <w:rFonts w:asciiTheme="minorHAnsi" w:hAnsiTheme="minorHAnsi" w:cs="Courier New"/>
          <w:sz w:val="22"/>
          <w:szCs w:val="22"/>
        </w:rPr>
        <w:t xml:space="preserve">ity model </w:t>
      </w:r>
      <w:r>
        <w:rPr>
          <w:rFonts w:asciiTheme="minorHAnsi" w:hAnsiTheme="minorHAnsi" w:cs="Courier New"/>
          <w:sz w:val="22"/>
          <w:szCs w:val="22"/>
        </w:rPr>
        <w:t xml:space="preserve">to assess the importance of BITs with various ISDS provisions on </w:t>
      </w:r>
      <w:r w:rsidR="00AE181D" w:rsidRPr="00D01CD3">
        <w:rPr>
          <w:rFonts w:asciiTheme="minorHAnsi" w:hAnsiTheme="minorHAnsi" w:cs="Courier New"/>
          <w:sz w:val="22"/>
          <w:szCs w:val="22"/>
        </w:rPr>
        <w:t>bilateral FDI flows</w:t>
      </w:r>
      <w:r>
        <w:rPr>
          <w:rFonts w:asciiTheme="minorHAnsi" w:hAnsiTheme="minorHAnsi" w:cs="Courier New"/>
          <w:sz w:val="22"/>
          <w:szCs w:val="22"/>
        </w:rPr>
        <w:t xml:space="preserve"> while ta</w:t>
      </w:r>
      <w:r>
        <w:rPr>
          <w:rFonts w:asciiTheme="minorHAnsi" w:hAnsiTheme="minorHAnsi" w:cs="Courier New"/>
          <w:sz w:val="22"/>
          <w:szCs w:val="22"/>
        </w:rPr>
        <w:t>k</w:t>
      </w:r>
      <w:r>
        <w:rPr>
          <w:rFonts w:asciiTheme="minorHAnsi" w:hAnsiTheme="minorHAnsi" w:cs="Courier New"/>
          <w:sz w:val="22"/>
          <w:szCs w:val="22"/>
        </w:rPr>
        <w:t xml:space="preserve">ing account of </w:t>
      </w:r>
      <w:r w:rsidR="00AE181D" w:rsidRPr="00D01CD3">
        <w:rPr>
          <w:rFonts w:asciiTheme="minorHAnsi" w:hAnsiTheme="minorHAnsi" w:cs="Courier New"/>
          <w:sz w:val="22"/>
          <w:szCs w:val="22"/>
        </w:rPr>
        <w:t xml:space="preserve">bilateral </w:t>
      </w:r>
      <w:r>
        <w:rPr>
          <w:rFonts w:asciiTheme="minorHAnsi" w:hAnsiTheme="minorHAnsi" w:cs="Courier New"/>
          <w:sz w:val="22"/>
          <w:szCs w:val="22"/>
        </w:rPr>
        <w:t xml:space="preserve">trade </w:t>
      </w:r>
      <w:r w:rsidR="00AE181D" w:rsidRPr="00D01CD3">
        <w:rPr>
          <w:rFonts w:asciiTheme="minorHAnsi" w:hAnsiTheme="minorHAnsi" w:cs="Courier New"/>
          <w:sz w:val="22"/>
          <w:szCs w:val="22"/>
        </w:rPr>
        <w:t xml:space="preserve">flows of goods. </w:t>
      </w:r>
      <w:r w:rsidR="00AE181D">
        <w:rPr>
          <w:rFonts w:asciiTheme="minorHAnsi" w:hAnsiTheme="minorHAnsi" w:cs="Courier New"/>
          <w:sz w:val="22"/>
          <w:szCs w:val="22"/>
        </w:rPr>
        <w:t xml:space="preserve">The results </w:t>
      </w:r>
      <w:r w:rsidR="00AE181D" w:rsidRPr="00D01CD3">
        <w:rPr>
          <w:rFonts w:asciiTheme="minorHAnsi" w:hAnsiTheme="minorHAnsi" w:cs="Courier New"/>
          <w:sz w:val="22"/>
          <w:szCs w:val="22"/>
        </w:rPr>
        <w:t>suggest that BITs between OECD countries are effective only when the</w:t>
      </w:r>
      <w:r w:rsidR="00AE181D">
        <w:rPr>
          <w:rFonts w:asciiTheme="minorHAnsi" w:hAnsiTheme="minorHAnsi" w:cs="Courier New"/>
          <w:sz w:val="22"/>
          <w:szCs w:val="22"/>
        </w:rPr>
        <w:t xml:space="preserve">y have </w:t>
      </w:r>
      <w:r w:rsidR="00946DC6">
        <w:rPr>
          <w:rFonts w:asciiTheme="minorHAnsi" w:hAnsiTheme="minorHAnsi" w:cs="Courier New"/>
          <w:sz w:val="22"/>
          <w:szCs w:val="22"/>
        </w:rPr>
        <w:t xml:space="preserve">a combination of </w:t>
      </w:r>
      <w:r w:rsidR="00AE181D">
        <w:rPr>
          <w:rFonts w:asciiTheme="minorHAnsi" w:hAnsiTheme="minorHAnsi" w:cs="Courier New"/>
          <w:sz w:val="22"/>
          <w:szCs w:val="22"/>
        </w:rPr>
        <w:t xml:space="preserve">strict </w:t>
      </w:r>
      <w:r>
        <w:rPr>
          <w:rFonts w:asciiTheme="minorHAnsi" w:hAnsiTheme="minorHAnsi" w:cs="Courier New"/>
          <w:sz w:val="22"/>
          <w:szCs w:val="22"/>
        </w:rPr>
        <w:t xml:space="preserve">ISDS </w:t>
      </w:r>
      <w:r w:rsidR="00AE181D">
        <w:rPr>
          <w:rFonts w:asciiTheme="minorHAnsi" w:hAnsiTheme="minorHAnsi" w:cs="Courier New"/>
          <w:sz w:val="22"/>
          <w:szCs w:val="22"/>
        </w:rPr>
        <w:t>provisions. BITs have a statistically signif</w:t>
      </w:r>
      <w:r w:rsidR="00AE181D">
        <w:rPr>
          <w:rFonts w:asciiTheme="minorHAnsi" w:hAnsiTheme="minorHAnsi" w:cs="Courier New"/>
          <w:sz w:val="22"/>
          <w:szCs w:val="22"/>
        </w:rPr>
        <w:t>i</w:t>
      </w:r>
      <w:r w:rsidR="00AE181D">
        <w:rPr>
          <w:rFonts w:asciiTheme="minorHAnsi" w:hAnsiTheme="minorHAnsi" w:cs="Courier New"/>
          <w:sz w:val="22"/>
          <w:szCs w:val="22"/>
        </w:rPr>
        <w:t xml:space="preserve">cant impact on investment flows when combined with ISDS where the </w:t>
      </w:r>
      <w:r w:rsidR="00AE181D" w:rsidRPr="00D01CD3">
        <w:rPr>
          <w:rFonts w:asciiTheme="minorHAnsi" w:hAnsiTheme="minorHAnsi" w:cs="Courier New"/>
          <w:sz w:val="22"/>
          <w:szCs w:val="22"/>
        </w:rPr>
        <w:t>coverage of</w:t>
      </w:r>
      <w:r w:rsidR="00946DC6">
        <w:rPr>
          <w:rFonts w:asciiTheme="minorHAnsi" w:hAnsiTheme="minorHAnsi" w:cs="Courier New"/>
          <w:sz w:val="22"/>
          <w:szCs w:val="22"/>
        </w:rPr>
        <w:t xml:space="preserve"> investors’ </w:t>
      </w:r>
      <w:r w:rsidR="00AE181D" w:rsidRPr="00D01CD3">
        <w:rPr>
          <w:rFonts w:asciiTheme="minorHAnsi" w:hAnsiTheme="minorHAnsi" w:cs="Courier New"/>
          <w:sz w:val="22"/>
          <w:szCs w:val="22"/>
        </w:rPr>
        <w:t>claims goes beyond the treaty and extends to any investment dispute</w:t>
      </w:r>
      <w:r w:rsidR="005F2B54">
        <w:rPr>
          <w:rFonts w:asciiTheme="minorHAnsi" w:hAnsiTheme="minorHAnsi" w:cs="Courier New"/>
          <w:sz w:val="22"/>
          <w:szCs w:val="22"/>
        </w:rPr>
        <w:t>, and the interpretation of the treaty rules is binding</w:t>
      </w:r>
      <w:r w:rsidR="00AE181D">
        <w:rPr>
          <w:rFonts w:asciiTheme="minorHAnsi" w:hAnsiTheme="minorHAnsi" w:cs="Courier New"/>
          <w:sz w:val="22"/>
          <w:szCs w:val="22"/>
        </w:rPr>
        <w:t xml:space="preserve">. The result holds even for pairs of countries with a preferential trade agreement with investment provisions. We find that the average impact of including an ISDS with strict provisions </w:t>
      </w:r>
      <w:r w:rsidR="00AE181D" w:rsidRPr="00D01CD3">
        <w:rPr>
          <w:rFonts w:asciiTheme="minorHAnsi" w:hAnsiTheme="minorHAnsi" w:cs="Courier New"/>
          <w:sz w:val="22"/>
          <w:szCs w:val="22"/>
        </w:rPr>
        <w:t>i</w:t>
      </w:r>
      <w:r w:rsidR="00AE181D">
        <w:rPr>
          <w:rFonts w:asciiTheme="minorHAnsi" w:hAnsiTheme="minorHAnsi" w:cs="Courier New"/>
          <w:sz w:val="22"/>
          <w:szCs w:val="22"/>
        </w:rPr>
        <w:t>n</w:t>
      </w:r>
      <w:r w:rsidR="00AE181D">
        <w:rPr>
          <w:rFonts w:asciiTheme="minorHAnsi" w:hAnsiTheme="minorHAnsi" w:cs="Courier New"/>
          <w:sz w:val="22"/>
          <w:szCs w:val="22"/>
        </w:rPr>
        <w:t>crease FDI by 7</w:t>
      </w:r>
      <w:r w:rsidR="005F2B54">
        <w:rPr>
          <w:rFonts w:asciiTheme="minorHAnsi" w:hAnsiTheme="minorHAnsi" w:cs="Courier New"/>
          <w:sz w:val="22"/>
          <w:szCs w:val="22"/>
        </w:rPr>
        <w:t>3</w:t>
      </w:r>
      <w:r w:rsidR="00AE181D" w:rsidRPr="00D01CD3">
        <w:rPr>
          <w:rFonts w:asciiTheme="minorHAnsi" w:hAnsiTheme="minorHAnsi" w:cs="Courier New"/>
          <w:sz w:val="22"/>
          <w:szCs w:val="22"/>
        </w:rPr>
        <w:t xml:space="preserve">%. </w:t>
      </w:r>
      <w:r w:rsidR="00AE181D">
        <w:rPr>
          <w:rFonts w:asciiTheme="minorHAnsi" w:hAnsiTheme="minorHAnsi" w:cs="Courier New"/>
          <w:sz w:val="22"/>
          <w:szCs w:val="22"/>
        </w:rPr>
        <w:t>This result holds when introducing country-year fixed effects.</w:t>
      </w:r>
    </w:p>
    <w:p w:rsidR="00AE181D" w:rsidRDefault="00AE181D" w:rsidP="00B05451">
      <w:pPr>
        <w:pStyle w:val="PlainText"/>
        <w:spacing w:after="120" w:line="360" w:lineRule="auto"/>
        <w:jc w:val="both"/>
        <w:rPr>
          <w:rFonts w:asciiTheme="minorHAnsi" w:hAnsiTheme="minorHAnsi" w:cs="Courier New"/>
          <w:sz w:val="22"/>
          <w:szCs w:val="22"/>
        </w:rPr>
      </w:pPr>
      <w:r w:rsidRPr="00D01CD3">
        <w:rPr>
          <w:rFonts w:asciiTheme="minorHAnsi" w:hAnsiTheme="minorHAnsi" w:cs="Courier New"/>
          <w:sz w:val="22"/>
          <w:szCs w:val="22"/>
        </w:rPr>
        <w:t xml:space="preserve">A shortcoming </w:t>
      </w:r>
      <w:r w:rsidR="003B004B">
        <w:rPr>
          <w:rFonts w:asciiTheme="minorHAnsi" w:hAnsiTheme="minorHAnsi" w:cs="Courier New"/>
          <w:sz w:val="22"/>
          <w:szCs w:val="22"/>
        </w:rPr>
        <w:t xml:space="preserve">of the paper is </w:t>
      </w:r>
      <w:r w:rsidRPr="00D01CD3">
        <w:rPr>
          <w:rFonts w:asciiTheme="minorHAnsi" w:hAnsiTheme="minorHAnsi" w:cs="Courier New"/>
          <w:sz w:val="22"/>
          <w:szCs w:val="22"/>
        </w:rPr>
        <w:t>the lack of industry specific bilateral FDI flows, particularly</w:t>
      </w:r>
      <w:r w:rsidR="003B004B">
        <w:rPr>
          <w:rFonts w:asciiTheme="minorHAnsi" w:hAnsiTheme="minorHAnsi" w:cs="Courier New"/>
          <w:sz w:val="22"/>
          <w:szCs w:val="22"/>
        </w:rPr>
        <w:t xml:space="preserve"> for</w:t>
      </w:r>
      <w:r w:rsidRPr="00D01CD3">
        <w:rPr>
          <w:rFonts w:asciiTheme="minorHAnsi" w:hAnsiTheme="minorHAnsi" w:cs="Courier New"/>
          <w:sz w:val="22"/>
          <w:szCs w:val="22"/>
        </w:rPr>
        <w:t xml:space="preserve"> </w:t>
      </w:r>
      <w:r w:rsidR="003B004B">
        <w:rPr>
          <w:rFonts w:asciiTheme="minorHAnsi" w:hAnsiTheme="minorHAnsi" w:cs="Courier New"/>
          <w:sz w:val="22"/>
          <w:szCs w:val="22"/>
        </w:rPr>
        <w:t xml:space="preserve">services that rely on </w:t>
      </w:r>
      <w:r w:rsidRPr="00D01CD3">
        <w:rPr>
          <w:rFonts w:asciiTheme="minorHAnsi" w:hAnsiTheme="minorHAnsi" w:cs="Courier New"/>
          <w:sz w:val="22"/>
          <w:szCs w:val="22"/>
        </w:rPr>
        <w:t xml:space="preserve">`behind the border' delivery </w:t>
      </w:r>
      <w:r w:rsidR="003B004B">
        <w:rPr>
          <w:rFonts w:asciiTheme="minorHAnsi" w:hAnsiTheme="minorHAnsi" w:cs="Courier New"/>
          <w:sz w:val="22"/>
          <w:szCs w:val="22"/>
        </w:rPr>
        <w:t xml:space="preserve">and therefore may be </w:t>
      </w:r>
      <w:r w:rsidR="003B004B" w:rsidRPr="00D01CD3">
        <w:rPr>
          <w:rFonts w:asciiTheme="minorHAnsi" w:hAnsiTheme="minorHAnsi" w:cs="Courier New"/>
          <w:sz w:val="22"/>
          <w:szCs w:val="22"/>
        </w:rPr>
        <w:t xml:space="preserve">more heavily </w:t>
      </w:r>
      <w:r w:rsidR="003B004B">
        <w:rPr>
          <w:rFonts w:asciiTheme="minorHAnsi" w:hAnsiTheme="minorHAnsi" w:cs="Courier New"/>
          <w:sz w:val="22"/>
          <w:szCs w:val="22"/>
        </w:rPr>
        <w:t xml:space="preserve">exposed to protectionism. </w:t>
      </w:r>
      <w:r w:rsidRPr="00D01CD3">
        <w:rPr>
          <w:rFonts w:asciiTheme="minorHAnsi" w:hAnsiTheme="minorHAnsi" w:cs="Courier New"/>
          <w:sz w:val="22"/>
          <w:szCs w:val="22"/>
        </w:rPr>
        <w:t xml:space="preserve">Countries specialising in </w:t>
      </w:r>
      <w:r w:rsidR="003B004B">
        <w:rPr>
          <w:rFonts w:asciiTheme="minorHAnsi" w:hAnsiTheme="minorHAnsi" w:cs="Courier New"/>
          <w:sz w:val="22"/>
          <w:szCs w:val="22"/>
        </w:rPr>
        <w:t xml:space="preserve">services </w:t>
      </w:r>
      <w:r w:rsidRPr="00D01CD3">
        <w:rPr>
          <w:rFonts w:asciiTheme="minorHAnsi" w:hAnsiTheme="minorHAnsi" w:cs="Courier New"/>
          <w:sz w:val="22"/>
          <w:szCs w:val="22"/>
        </w:rPr>
        <w:t>may therefore be more responsive to a BIT that would, for exa</w:t>
      </w:r>
      <w:r w:rsidRPr="00D01CD3">
        <w:rPr>
          <w:rFonts w:asciiTheme="minorHAnsi" w:hAnsiTheme="minorHAnsi" w:cs="Courier New"/>
          <w:sz w:val="22"/>
          <w:szCs w:val="22"/>
        </w:rPr>
        <w:t>m</w:t>
      </w:r>
      <w:r w:rsidRPr="00D01CD3">
        <w:rPr>
          <w:rFonts w:asciiTheme="minorHAnsi" w:hAnsiTheme="minorHAnsi" w:cs="Courier New"/>
          <w:sz w:val="22"/>
          <w:szCs w:val="22"/>
        </w:rPr>
        <w:t>ple, help protect the intellectual property of investors in which case coefficients pr</w:t>
      </w:r>
      <w:r w:rsidRPr="00D01CD3">
        <w:rPr>
          <w:rFonts w:asciiTheme="minorHAnsi" w:hAnsiTheme="minorHAnsi" w:cs="Courier New"/>
          <w:sz w:val="22"/>
          <w:szCs w:val="22"/>
        </w:rPr>
        <w:t>e</w:t>
      </w:r>
      <w:r w:rsidRPr="00D01CD3">
        <w:rPr>
          <w:rFonts w:asciiTheme="minorHAnsi" w:hAnsiTheme="minorHAnsi" w:cs="Courier New"/>
          <w:sz w:val="22"/>
          <w:szCs w:val="22"/>
        </w:rPr>
        <w:t>sented here may be under-estimate</w:t>
      </w:r>
      <w:r w:rsidR="003B004B">
        <w:rPr>
          <w:rFonts w:asciiTheme="minorHAnsi" w:hAnsiTheme="minorHAnsi" w:cs="Courier New"/>
          <w:sz w:val="22"/>
          <w:szCs w:val="22"/>
        </w:rPr>
        <w:t>s f</w:t>
      </w:r>
      <w:r w:rsidRPr="00D01CD3">
        <w:rPr>
          <w:rFonts w:asciiTheme="minorHAnsi" w:hAnsiTheme="minorHAnsi" w:cs="Courier New"/>
          <w:sz w:val="22"/>
          <w:szCs w:val="22"/>
        </w:rPr>
        <w:t>or those countries.</w:t>
      </w:r>
      <w:r>
        <w:rPr>
          <w:rFonts w:asciiTheme="minorHAnsi" w:hAnsiTheme="minorHAnsi" w:cs="Courier New"/>
          <w:sz w:val="22"/>
          <w:szCs w:val="22"/>
        </w:rPr>
        <w:t xml:space="preserve"> </w:t>
      </w:r>
      <w:r w:rsidRPr="00D01CD3">
        <w:rPr>
          <w:rFonts w:asciiTheme="minorHAnsi" w:hAnsiTheme="minorHAnsi" w:cs="Courier New"/>
          <w:sz w:val="22"/>
          <w:szCs w:val="22"/>
        </w:rPr>
        <w:t xml:space="preserve">The following section </w:t>
      </w:r>
      <w:r>
        <w:rPr>
          <w:rFonts w:asciiTheme="minorHAnsi" w:hAnsiTheme="minorHAnsi" w:cs="Courier New"/>
          <w:sz w:val="22"/>
          <w:szCs w:val="22"/>
        </w:rPr>
        <w:t xml:space="preserve">summarises </w:t>
      </w:r>
      <w:r w:rsidRPr="00D01CD3">
        <w:rPr>
          <w:rFonts w:asciiTheme="minorHAnsi" w:hAnsiTheme="minorHAnsi" w:cs="Courier New"/>
          <w:sz w:val="22"/>
          <w:szCs w:val="22"/>
        </w:rPr>
        <w:t>the current liter</w:t>
      </w:r>
      <w:r w:rsidRPr="00D01CD3">
        <w:rPr>
          <w:rFonts w:asciiTheme="minorHAnsi" w:hAnsiTheme="minorHAnsi" w:cs="Courier New"/>
          <w:sz w:val="22"/>
          <w:szCs w:val="22"/>
        </w:rPr>
        <w:t>a</w:t>
      </w:r>
      <w:r w:rsidRPr="00D01CD3">
        <w:rPr>
          <w:rFonts w:asciiTheme="minorHAnsi" w:hAnsiTheme="minorHAnsi" w:cs="Courier New"/>
          <w:sz w:val="22"/>
          <w:szCs w:val="22"/>
        </w:rPr>
        <w:t xml:space="preserve">ture </w:t>
      </w:r>
      <w:r>
        <w:rPr>
          <w:rFonts w:asciiTheme="minorHAnsi" w:hAnsiTheme="minorHAnsi" w:cs="Courier New"/>
          <w:sz w:val="22"/>
          <w:szCs w:val="22"/>
        </w:rPr>
        <w:t xml:space="preserve">on </w:t>
      </w:r>
      <w:r w:rsidRPr="00D01CD3">
        <w:rPr>
          <w:rFonts w:asciiTheme="minorHAnsi" w:hAnsiTheme="minorHAnsi" w:cs="Courier New"/>
          <w:sz w:val="22"/>
          <w:szCs w:val="22"/>
        </w:rPr>
        <w:t xml:space="preserve">FDI and BITs, </w:t>
      </w:r>
      <w:r>
        <w:rPr>
          <w:rFonts w:asciiTheme="minorHAnsi" w:hAnsiTheme="minorHAnsi" w:cs="Courier New"/>
          <w:sz w:val="22"/>
          <w:szCs w:val="22"/>
        </w:rPr>
        <w:t xml:space="preserve">followed by </w:t>
      </w:r>
      <w:r w:rsidRPr="00D01CD3">
        <w:rPr>
          <w:rFonts w:asciiTheme="minorHAnsi" w:hAnsiTheme="minorHAnsi" w:cs="Courier New"/>
          <w:sz w:val="22"/>
          <w:szCs w:val="22"/>
        </w:rPr>
        <w:t>Section 3 which describe</w:t>
      </w:r>
      <w:r>
        <w:rPr>
          <w:rFonts w:asciiTheme="minorHAnsi" w:hAnsiTheme="minorHAnsi" w:cs="Courier New"/>
          <w:sz w:val="22"/>
          <w:szCs w:val="22"/>
        </w:rPr>
        <w:t>s</w:t>
      </w:r>
      <w:r w:rsidRPr="00D01CD3">
        <w:rPr>
          <w:rFonts w:asciiTheme="minorHAnsi" w:hAnsiTheme="minorHAnsi" w:cs="Courier New"/>
          <w:sz w:val="22"/>
          <w:szCs w:val="22"/>
        </w:rPr>
        <w:t xml:space="preserve"> the methodology and data used in this p</w:t>
      </w:r>
      <w:r w:rsidRPr="00D01CD3">
        <w:rPr>
          <w:rFonts w:asciiTheme="minorHAnsi" w:hAnsiTheme="minorHAnsi" w:cs="Courier New"/>
          <w:sz w:val="22"/>
          <w:szCs w:val="22"/>
        </w:rPr>
        <w:t>a</w:t>
      </w:r>
      <w:r w:rsidRPr="00D01CD3">
        <w:rPr>
          <w:rFonts w:asciiTheme="minorHAnsi" w:hAnsiTheme="minorHAnsi" w:cs="Courier New"/>
          <w:sz w:val="22"/>
          <w:szCs w:val="22"/>
        </w:rPr>
        <w:t>per. Section 4 presents the results, leading into Section 5, which offers a discussion on the relevance of industry sp</w:t>
      </w:r>
      <w:r w:rsidRPr="00D01CD3">
        <w:rPr>
          <w:rFonts w:asciiTheme="minorHAnsi" w:hAnsiTheme="minorHAnsi" w:cs="Courier New"/>
          <w:sz w:val="22"/>
          <w:szCs w:val="22"/>
        </w:rPr>
        <w:t>e</w:t>
      </w:r>
      <w:r w:rsidRPr="00D01CD3">
        <w:rPr>
          <w:rFonts w:asciiTheme="minorHAnsi" w:hAnsiTheme="minorHAnsi" w:cs="Courier New"/>
          <w:sz w:val="22"/>
          <w:szCs w:val="22"/>
        </w:rPr>
        <w:t>cific FDI. Section 6 concludes.</w:t>
      </w:r>
    </w:p>
    <w:p w:rsidR="00AE181D" w:rsidRDefault="00AE181D" w:rsidP="00AE181D">
      <w:pPr>
        <w:pStyle w:val="PlainText"/>
        <w:numPr>
          <w:ilvl w:val="0"/>
          <w:numId w:val="2"/>
        </w:numPr>
        <w:spacing w:line="360" w:lineRule="auto"/>
        <w:jc w:val="both"/>
        <w:rPr>
          <w:rFonts w:asciiTheme="minorHAnsi" w:hAnsiTheme="minorHAnsi" w:cs="Courier New"/>
          <w:b/>
          <w:sz w:val="22"/>
          <w:szCs w:val="22"/>
        </w:rPr>
      </w:pPr>
      <w:r>
        <w:rPr>
          <w:rFonts w:asciiTheme="minorHAnsi" w:hAnsiTheme="minorHAnsi" w:cs="Courier New"/>
          <w:b/>
          <w:sz w:val="22"/>
          <w:szCs w:val="22"/>
        </w:rPr>
        <w:t>Literature Review</w:t>
      </w:r>
    </w:p>
    <w:p w:rsidR="00AE181D" w:rsidRPr="00D01CD3" w:rsidRDefault="00AE181D" w:rsidP="00AE181D">
      <w:pPr>
        <w:pStyle w:val="PlainText"/>
        <w:spacing w:after="120" w:line="360" w:lineRule="auto"/>
        <w:jc w:val="both"/>
        <w:rPr>
          <w:rFonts w:asciiTheme="minorHAnsi" w:hAnsiTheme="minorHAnsi" w:cs="Courier New"/>
          <w:sz w:val="22"/>
          <w:szCs w:val="22"/>
        </w:rPr>
      </w:pPr>
      <w:r w:rsidRPr="00D01CD3">
        <w:rPr>
          <w:rFonts w:asciiTheme="minorHAnsi" w:hAnsiTheme="minorHAnsi" w:cs="Courier New"/>
          <w:sz w:val="22"/>
          <w:szCs w:val="22"/>
        </w:rPr>
        <w:t>International treaties are the primary means by which foreign investors can secure rights to protect their interests abroad (Collins, 2017). While trade and tariff stipulation</w:t>
      </w:r>
      <w:r>
        <w:rPr>
          <w:rFonts w:asciiTheme="minorHAnsi" w:hAnsiTheme="minorHAnsi" w:cs="Courier New"/>
          <w:sz w:val="22"/>
          <w:szCs w:val="22"/>
        </w:rPr>
        <w:t xml:space="preserve">s are at the heart </w:t>
      </w:r>
      <w:r w:rsidR="00946DC6">
        <w:rPr>
          <w:rFonts w:asciiTheme="minorHAnsi" w:hAnsiTheme="minorHAnsi" w:cs="Courier New"/>
          <w:sz w:val="22"/>
          <w:szCs w:val="22"/>
        </w:rPr>
        <w:t xml:space="preserve">of trade </w:t>
      </w:r>
      <w:r>
        <w:rPr>
          <w:rFonts w:asciiTheme="minorHAnsi" w:hAnsiTheme="minorHAnsi" w:cs="Courier New"/>
          <w:sz w:val="22"/>
          <w:szCs w:val="22"/>
        </w:rPr>
        <w:t xml:space="preserve">agreements, </w:t>
      </w:r>
      <w:r w:rsidRPr="00D01CD3">
        <w:rPr>
          <w:rFonts w:asciiTheme="minorHAnsi" w:hAnsiTheme="minorHAnsi" w:cs="Courier New"/>
          <w:sz w:val="22"/>
          <w:szCs w:val="22"/>
        </w:rPr>
        <w:t>investment protection</w:t>
      </w:r>
      <w:r>
        <w:rPr>
          <w:rFonts w:asciiTheme="minorHAnsi" w:hAnsiTheme="minorHAnsi" w:cs="Courier New"/>
          <w:sz w:val="22"/>
          <w:szCs w:val="22"/>
        </w:rPr>
        <w:t xml:space="preserve"> </w:t>
      </w:r>
      <w:r w:rsidRPr="00D01CD3">
        <w:rPr>
          <w:rFonts w:asciiTheme="minorHAnsi" w:hAnsiTheme="minorHAnsi" w:cs="Courier New"/>
          <w:sz w:val="22"/>
          <w:szCs w:val="22"/>
        </w:rPr>
        <w:t xml:space="preserve">can be thought of as another </w:t>
      </w:r>
      <w:r>
        <w:rPr>
          <w:rFonts w:asciiTheme="minorHAnsi" w:hAnsiTheme="minorHAnsi" w:cs="Courier New"/>
          <w:sz w:val="22"/>
          <w:szCs w:val="22"/>
        </w:rPr>
        <w:t xml:space="preserve">way </w:t>
      </w:r>
      <w:r w:rsidR="00946DC6">
        <w:rPr>
          <w:rFonts w:asciiTheme="minorHAnsi" w:hAnsiTheme="minorHAnsi" w:cs="Courier New"/>
          <w:sz w:val="22"/>
          <w:szCs w:val="22"/>
        </w:rPr>
        <w:t xml:space="preserve">to support the </w:t>
      </w:r>
      <w:r>
        <w:rPr>
          <w:rFonts w:asciiTheme="minorHAnsi" w:hAnsiTheme="minorHAnsi" w:cs="Courier New"/>
          <w:sz w:val="22"/>
          <w:szCs w:val="22"/>
        </w:rPr>
        <w:t xml:space="preserve">export </w:t>
      </w:r>
      <w:r w:rsidR="00946DC6">
        <w:rPr>
          <w:rFonts w:asciiTheme="minorHAnsi" w:hAnsiTheme="minorHAnsi" w:cs="Courier New"/>
          <w:sz w:val="22"/>
          <w:szCs w:val="22"/>
        </w:rPr>
        <w:t xml:space="preserve">of </w:t>
      </w:r>
      <w:r>
        <w:rPr>
          <w:rFonts w:asciiTheme="minorHAnsi" w:hAnsiTheme="minorHAnsi" w:cs="Courier New"/>
          <w:sz w:val="22"/>
          <w:szCs w:val="22"/>
        </w:rPr>
        <w:t xml:space="preserve">services. </w:t>
      </w:r>
      <w:r w:rsidR="005F2B54" w:rsidRPr="00582164">
        <w:rPr>
          <w:rFonts w:asciiTheme="minorHAnsi" w:hAnsiTheme="minorHAnsi" w:cs="Courier New"/>
          <w:sz w:val="22"/>
          <w:szCs w:val="22"/>
        </w:rPr>
        <w:t>Many Preferential Trade Agreements (PTAs) are becoming laboratories for innovative dispute settl</w:t>
      </w:r>
      <w:r w:rsidR="005F2B54" w:rsidRPr="00582164">
        <w:rPr>
          <w:rFonts w:asciiTheme="minorHAnsi" w:hAnsiTheme="minorHAnsi" w:cs="Courier New"/>
          <w:sz w:val="22"/>
          <w:szCs w:val="22"/>
        </w:rPr>
        <w:t>e</w:t>
      </w:r>
      <w:r w:rsidR="005F2B54" w:rsidRPr="00582164">
        <w:rPr>
          <w:rFonts w:asciiTheme="minorHAnsi" w:hAnsiTheme="minorHAnsi" w:cs="Courier New"/>
          <w:sz w:val="22"/>
          <w:szCs w:val="22"/>
        </w:rPr>
        <w:t>ment mechanisms.</w:t>
      </w:r>
      <w:r w:rsidR="005F2B54">
        <w:rPr>
          <w:rFonts w:asciiTheme="minorHAnsi" w:hAnsiTheme="minorHAnsi" w:cs="Courier New"/>
          <w:sz w:val="22"/>
          <w:szCs w:val="22"/>
        </w:rPr>
        <w:t xml:space="preserve"> </w:t>
      </w:r>
      <w:r w:rsidR="00946DC6">
        <w:rPr>
          <w:rFonts w:asciiTheme="minorHAnsi" w:hAnsiTheme="minorHAnsi" w:cs="Courier New"/>
          <w:sz w:val="22"/>
          <w:szCs w:val="22"/>
        </w:rPr>
        <w:t>However, o</w:t>
      </w:r>
      <w:r>
        <w:rPr>
          <w:rFonts w:asciiTheme="minorHAnsi" w:hAnsiTheme="minorHAnsi" w:cs="Courier New"/>
          <w:sz w:val="22"/>
          <w:szCs w:val="22"/>
        </w:rPr>
        <w:t xml:space="preserve">ne </w:t>
      </w:r>
      <w:r w:rsidRPr="00D01CD3">
        <w:rPr>
          <w:rFonts w:asciiTheme="minorHAnsi" w:hAnsiTheme="minorHAnsi" w:cs="Courier New"/>
          <w:sz w:val="22"/>
          <w:szCs w:val="22"/>
        </w:rPr>
        <w:t xml:space="preserve">may </w:t>
      </w:r>
      <w:r w:rsidR="00946DC6">
        <w:rPr>
          <w:rFonts w:asciiTheme="minorHAnsi" w:hAnsiTheme="minorHAnsi" w:cs="Courier New"/>
          <w:sz w:val="22"/>
          <w:szCs w:val="22"/>
        </w:rPr>
        <w:t xml:space="preserve">also </w:t>
      </w:r>
      <w:r w:rsidRPr="00D01CD3">
        <w:rPr>
          <w:rFonts w:asciiTheme="minorHAnsi" w:hAnsiTheme="minorHAnsi" w:cs="Courier New"/>
          <w:sz w:val="22"/>
          <w:szCs w:val="22"/>
        </w:rPr>
        <w:t>point to the reform of tribunals and the creation of an a</w:t>
      </w:r>
      <w:r w:rsidRPr="00D01CD3">
        <w:rPr>
          <w:rFonts w:asciiTheme="minorHAnsi" w:hAnsiTheme="minorHAnsi" w:cs="Courier New"/>
          <w:sz w:val="22"/>
          <w:szCs w:val="22"/>
        </w:rPr>
        <w:t>p</w:t>
      </w:r>
      <w:r w:rsidRPr="00D01CD3">
        <w:rPr>
          <w:rFonts w:asciiTheme="minorHAnsi" w:hAnsiTheme="minorHAnsi" w:cs="Courier New"/>
          <w:sz w:val="22"/>
          <w:szCs w:val="22"/>
        </w:rPr>
        <w:lastRenderedPageBreak/>
        <w:t xml:space="preserve">pellate mechanism under CETA and the EU-Vietnam FTA as evidence that </w:t>
      </w:r>
      <w:r>
        <w:rPr>
          <w:rFonts w:asciiTheme="minorHAnsi" w:hAnsiTheme="minorHAnsi" w:cs="Courier New"/>
          <w:sz w:val="22"/>
          <w:szCs w:val="22"/>
        </w:rPr>
        <w:t xml:space="preserve">the </w:t>
      </w:r>
      <w:r w:rsidRPr="00D01CD3">
        <w:rPr>
          <w:rFonts w:asciiTheme="minorHAnsi" w:hAnsiTheme="minorHAnsi" w:cs="Courier New"/>
          <w:sz w:val="22"/>
          <w:szCs w:val="22"/>
        </w:rPr>
        <w:t xml:space="preserve">public </w:t>
      </w:r>
      <w:r>
        <w:rPr>
          <w:rFonts w:asciiTheme="minorHAnsi" w:hAnsiTheme="minorHAnsi" w:cs="Courier New"/>
          <w:sz w:val="22"/>
          <w:szCs w:val="22"/>
        </w:rPr>
        <w:t xml:space="preserve">discomfort with </w:t>
      </w:r>
      <w:r w:rsidRPr="00D01CD3">
        <w:rPr>
          <w:rFonts w:asciiTheme="minorHAnsi" w:hAnsiTheme="minorHAnsi" w:cs="Courier New"/>
          <w:sz w:val="22"/>
          <w:szCs w:val="22"/>
        </w:rPr>
        <w:t>ISDS is taken seriously. The latter two treaties</w:t>
      </w:r>
      <w:r>
        <w:rPr>
          <w:rFonts w:asciiTheme="minorHAnsi" w:hAnsiTheme="minorHAnsi" w:cs="Courier New"/>
          <w:sz w:val="22"/>
          <w:szCs w:val="22"/>
        </w:rPr>
        <w:t xml:space="preserve"> and TTIP</w:t>
      </w:r>
      <w:r w:rsidRPr="00D01CD3">
        <w:rPr>
          <w:rFonts w:asciiTheme="minorHAnsi" w:hAnsiTheme="minorHAnsi" w:cs="Courier New"/>
          <w:sz w:val="22"/>
          <w:szCs w:val="22"/>
        </w:rPr>
        <w:t xml:space="preserve"> are examples of initiative</w:t>
      </w:r>
      <w:r>
        <w:rPr>
          <w:rFonts w:asciiTheme="minorHAnsi" w:hAnsiTheme="minorHAnsi" w:cs="Courier New"/>
          <w:sz w:val="22"/>
          <w:szCs w:val="22"/>
        </w:rPr>
        <w:t>s</w:t>
      </w:r>
      <w:r w:rsidRPr="00D01CD3">
        <w:rPr>
          <w:rFonts w:asciiTheme="minorHAnsi" w:hAnsiTheme="minorHAnsi" w:cs="Courier New"/>
          <w:sz w:val="22"/>
          <w:szCs w:val="22"/>
        </w:rPr>
        <w:t xml:space="preserve"> on behalf of the EU to create courts for dispute settlement that not only protect investors but also serve the public interest in terms of transparency</w:t>
      </w:r>
      <w:r>
        <w:rPr>
          <w:rFonts w:asciiTheme="minorHAnsi" w:hAnsiTheme="minorHAnsi" w:cs="Courier New"/>
          <w:sz w:val="22"/>
          <w:szCs w:val="22"/>
        </w:rPr>
        <w:t>,</w:t>
      </w:r>
      <w:r w:rsidRPr="00D01CD3">
        <w:rPr>
          <w:rFonts w:asciiTheme="minorHAnsi" w:hAnsiTheme="minorHAnsi" w:cs="Courier New"/>
          <w:sz w:val="22"/>
          <w:szCs w:val="22"/>
        </w:rPr>
        <w:t xml:space="preserve"> and balance between investor protection </w:t>
      </w:r>
      <w:r>
        <w:rPr>
          <w:rFonts w:asciiTheme="minorHAnsi" w:hAnsiTheme="minorHAnsi" w:cs="Courier New"/>
          <w:sz w:val="22"/>
          <w:szCs w:val="22"/>
        </w:rPr>
        <w:t>with</w:t>
      </w:r>
      <w:r w:rsidRPr="00D01CD3">
        <w:rPr>
          <w:rFonts w:asciiTheme="minorHAnsi" w:hAnsiTheme="minorHAnsi" w:cs="Courier New"/>
          <w:sz w:val="22"/>
          <w:szCs w:val="22"/>
        </w:rPr>
        <w:t xml:space="preserve"> national regulation; as Wagner elegantly summarizes, this may be `investment law's Uruguay moment' (2017).</w:t>
      </w:r>
    </w:p>
    <w:p w:rsidR="00AE181D" w:rsidRPr="00D01CD3" w:rsidRDefault="00AE181D" w:rsidP="00AE181D">
      <w:pPr>
        <w:pStyle w:val="PlainText"/>
        <w:spacing w:after="120" w:line="360" w:lineRule="auto"/>
        <w:jc w:val="both"/>
        <w:rPr>
          <w:rFonts w:asciiTheme="minorHAnsi" w:hAnsiTheme="minorHAnsi" w:cs="Courier New"/>
          <w:sz w:val="22"/>
          <w:szCs w:val="22"/>
        </w:rPr>
      </w:pPr>
      <w:r w:rsidRPr="00D01CD3">
        <w:rPr>
          <w:rFonts w:asciiTheme="minorHAnsi" w:hAnsiTheme="minorHAnsi" w:cs="Courier New"/>
          <w:sz w:val="22"/>
          <w:szCs w:val="22"/>
        </w:rPr>
        <w:t xml:space="preserve">BITs have </w:t>
      </w:r>
      <w:r>
        <w:rPr>
          <w:rFonts w:asciiTheme="minorHAnsi" w:hAnsiTheme="minorHAnsi" w:cs="Courier New"/>
          <w:sz w:val="22"/>
          <w:szCs w:val="22"/>
        </w:rPr>
        <w:t xml:space="preserve">a long history </w:t>
      </w:r>
      <w:r w:rsidRPr="00D01CD3">
        <w:rPr>
          <w:rFonts w:asciiTheme="minorHAnsi" w:hAnsiTheme="minorHAnsi" w:cs="Courier New"/>
          <w:sz w:val="22"/>
          <w:szCs w:val="22"/>
        </w:rPr>
        <w:t xml:space="preserve">in the form of so-called Friendship, Commerce and Navigation agreements, although their potency in terms of rules and stipulations </w:t>
      </w:r>
      <w:r>
        <w:rPr>
          <w:rFonts w:asciiTheme="minorHAnsi" w:hAnsiTheme="minorHAnsi" w:cs="Courier New"/>
          <w:sz w:val="22"/>
          <w:szCs w:val="22"/>
        </w:rPr>
        <w:t xml:space="preserve">is relatively new </w:t>
      </w:r>
      <w:r w:rsidRPr="00D01CD3">
        <w:rPr>
          <w:rFonts w:asciiTheme="minorHAnsi" w:hAnsiTheme="minorHAnsi" w:cs="Courier New"/>
          <w:sz w:val="22"/>
          <w:szCs w:val="22"/>
        </w:rPr>
        <w:t>(Collins, 2017). They serve as binding agreements on various matters concerning investment, with the objective of improving ec</w:t>
      </w:r>
      <w:r w:rsidRPr="00D01CD3">
        <w:rPr>
          <w:rFonts w:asciiTheme="minorHAnsi" w:hAnsiTheme="minorHAnsi" w:cs="Courier New"/>
          <w:sz w:val="22"/>
          <w:szCs w:val="22"/>
        </w:rPr>
        <w:t>o</w:t>
      </w:r>
      <w:r w:rsidRPr="00D01CD3">
        <w:rPr>
          <w:rFonts w:asciiTheme="minorHAnsi" w:hAnsiTheme="minorHAnsi" w:cs="Courier New"/>
          <w:sz w:val="22"/>
          <w:szCs w:val="22"/>
        </w:rPr>
        <w:t>nomic advancement between the two contracting parties (not unlike the investment chapters that fe</w:t>
      </w:r>
      <w:r w:rsidRPr="00D01CD3">
        <w:rPr>
          <w:rFonts w:asciiTheme="minorHAnsi" w:hAnsiTheme="minorHAnsi" w:cs="Courier New"/>
          <w:sz w:val="22"/>
          <w:szCs w:val="22"/>
        </w:rPr>
        <w:t>a</w:t>
      </w:r>
      <w:r w:rsidRPr="00D01CD3">
        <w:rPr>
          <w:rFonts w:asciiTheme="minorHAnsi" w:hAnsiTheme="minorHAnsi" w:cs="Courier New"/>
          <w:sz w:val="22"/>
          <w:szCs w:val="22"/>
        </w:rPr>
        <w:t>ture in FTAs). Standard provisions include protection against expropriation, discrimination, and access to an independent tribunal (generally, the ICSID). Importantly, they provide means for individual inve</w:t>
      </w:r>
      <w:r w:rsidRPr="00D01CD3">
        <w:rPr>
          <w:rFonts w:asciiTheme="minorHAnsi" w:hAnsiTheme="minorHAnsi" w:cs="Courier New"/>
          <w:sz w:val="22"/>
          <w:szCs w:val="22"/>
        </w:rPr>
        <w:t>s</w:t>
      </w:r>
      <w:r w:rsidRPr="00D01CD3">
        <w:rPr>
          <w:rFonts w:asciiTheme="minorHAnsi" w:hAnsiTheme="minorHAnsi" w:cs="Courier New"/>
          <w:sz w:val="22"/>
          <w:szCs w:val="22"/>
        </w:rPr>
        <w:t xml:space="preserve">tors to pursue dispute settlement </w:t>
      </w:r>
      <w:r w:rsidR="003B004B">
        <w:rPr>
          <w:rFonts w:asciiTheme="minorHAnsi" w:hAnsiTheme="minorHAnsi" w:cs="Courier New"/>
          <w:sz w:val="22"/>
          <w:szCs w:val="22"/>
        </w:rPr>
        <w:t xml:space="preserve">(ISDS) </w:t>
      </w:r>
      <w:r w:rsidRPr="00D01CD3">
        <w:rPr>
          <w:rFonts w:asciiTheme="minorHAnsi" w:hAnsiTheme="minorHAnsi" w:cs="Courier New"/>
          <w:sz w:val="22"/>
          <w:szCs w:val="22"/>
        </w:rPr>
        <w:t>should the foreig</w:t>
      </w:r>
      <w:r w:rsidR="003B004B">
        <w:rPr>
          <w:rFonts w:asciiTheme="minorHAnsi" w:hAnsiTheme="minorHAnsi" w:cs="Courier New"/>
          <w:sz w:val="22"/>
          <w:szCs w:val="22"/>
        </w:rPr>
        <w:t>n nation infringe their rights</w:t>
      </w:r>
      <w:r w:rsidRPr="00D01CD3">
        <w:rPr>
          <w:rFonts w:asciiTheme="minorHAnsi" w:hAnsiTheme="minorHAnsi" w:cs="Courier New"/>
          <w:sz w:val="22"/>
          <w:szCs w:val="22"/>
        </w:rPr>
        <w:t xml:space="preserve">, and features of the mechanism available in the treaty will determine its potency. For </w:t>
      </w:r>
      <w:r>
        <w:rPr>
          <w:rFonts w:asciiTheme="minorHAnsi" w:hAnsiTheme="minorHAnsi" w:cs="Courier New"/>
          <w:sz w:val="22"/>
          <w:szCs w:val="22"/>
        </w:rPr>
        <w:t>example</w:t>
      </w:r>
      <w:r w:rsidRPr="00D01CD3">
        <w:rPr>
          <w:rFonts w:asciiTheme="minorHAnsi" w:hAnsiTheme="minorHAnsi" w:cs="Courier New"/>
          <w:sz w:val="22"/>
          <w:szCs w:val="22"/>
        </w:rPr>
        <w:t>, the coverage of claims covered by the treaty will generally qualify its scope, as some only allow ISDS for breaches in the terms of the treaty alone, whilst others allow ISDS for any i</w:t>
      </w:r>
      <w:r w:rsidRPr="00D01CD3">
        <w:rPr>
          <w:rFonts w:asciiTheme="minorHAnsi" w:hAnsiTheme="minorHAnsi" w:cs="Courier New"/>
          <w:sz w:val="22"/>
          <w:szCs w:val="22"/>
        </w:rPr>
        <w:t>n</w:t>
      </w:r>
      <w:r w:rsidRPr="00D01CD3">
        <w:rPr>
          <w:rFonts w:asciiTheme="minorHAnsi" w:hAnsiTheme="minorHAnsi" w:cs="Courier New"/>
          <w:sz w:val="22"/>
          <w:szCs w:val="22"/>
        </w:rPr>
        <w:t>vestment related dispute, be it within or outside the treaty's premise. A further contention is the status of consent to ISDS provided by contracting pa</w:t>
      </w:r>
      <w:r w:rsidRPr="00D01CD3">
        <w:rPr>
          <w:rFonts w:asciiTheme="minorHAnsi" w:hAnsiTheme="minorHAnsi" w:cs="Courier New"/>
          <w:sz w:val="22"/>
          <w:szCs w:val="22"/>
        </w:rPr>
        <w:t>r</w:t>
      </w:r>
      <w:r w:rsidRPr="00D01CD3">
        <w:rPr>
          <w:rFonts w:asciiTheme="minorHAnsi" w:hAnsiTheme="minorHAnsi" w:cs="Courier New"/>
          <w:sz w:val="22"/>
          <w:szCs w:val="22"/>
        </w:rPr>
        <w:t>ties; some necessitate case-by-case approval by dome</w:t>
      </w:r>
      <w:r w:rsidRPr="00D01CD3">
        <w:rPr>
          <w:rFonts w:asciiTheme="minorHAnsi" w:hAnsiTheme="minorHAnsi" w:cs="Courier New"/>
          <w:sz w:val="22"/>
          <w:szCs w:val="22"/>
        </w:rPr>
        <w:t>s</w:t>
      </w:r>
      <w:r w:rsidRPr="00D01CD3">
        <w:rPr>
          <w:rFonts w:asciiTheme="minorHAnsi" w:hAnsiTheme="minorHAnsi" w:cs="Courier New"/>
          <w:sz w:val="22"/>
          <w:szCs w:val="22"/>
        </w:rPr>
        <w:t xml:space="preserve">tic courts </w:t>
      </w:r>
      <w:r>
        <w:rPr>
          <w:rFonts w:asciiTheme="minorHAnsi" w:hAnsiTheme="minorHAnsi" w:cs="Courier New"/>
          <w:sz w:val="22"/>
          <w:szCs w:val="22"/>
        </w:rPr>
        <w:t xml:space="preserve">while </w:t>
      </w:r>
      <w:r w:rsidRPr="00D01CD3">
        <w:rPr>
          <w:rFonts w:asciiTheme="minorHAnsi" w:hAnsiTheme="minorHAnsi" w:cs="Courier New"/>
          <w:sz w:val="22"/>
          <w:szCs w:val="22"/>
        </w:rPr>
        <w:t>others allow investors to decide whether they would prefer to pursue domestic or third party remedies.</w:t>
      </w:r>
    </w:p>
    <w:p w:rsidR="00AE181D" w:rsidRPr="00D01CD3" w:rsidRDefault="00AE181D" w:rsidP="00AE181D">
      <w:pPr>
        <w:pStyle w:val="PlainText"/>
        <w:spacing w:after="120" w:line="360" w:lineRule="auto"/>
        <w:jc w:val="both"/>
        <w:rPr>
          <w:rFonts w:asciiTheme="minorHAnsi" w:hAnsiTheme="minorHAnsi" w:cs="Courier New"/>
          <w:sz w:val="22"/>
          <w:szCs w:val="22"/>
        </w:rPr>
      </w:pPr>
      <w:r>
        <w:rPr>
          <w:rFonts w:asciiTheme="minorHAnsi" w:hAnsiTheme="minorHAnsi" w:cs="Courier New"/>
          <w:sz w:val="22"/>
          <w:szCs w:val="22"/>
        </w:rPr>
        <w:t>The</w:t>
      </w:r>
      <w:r w:rsidRPr="00D01CD3">
        <w:rPr>
          <w:rFonts w:asciiTheme="minorHAnsi" w:hAnsiTheme="minorHAnsi" w:cs="Courier New"/>
          <w:sz w:val="22"/>
          <w:szCs w:val="22"/>
        </w:rPr>
        <w:t xml:space="preserve"> widespread existence of these treaties may suggest </w:t>
      </w:r>
      <w:r>
        <w:rPr>
          <w:rFonts w:asciiTheme="minorHAnsi" w:hAnsiTheme="minorHAnsi" w:cs="Courier New"/>
          <w:sz w:val="22"/>
          <w:szCs w:val="22"/>
        </w:rPr>
        <w:t xml:space="preserve">a </w:t>
      </w:r>
      <w:r w:rsidRPr="00D01CD3">
        <w:rPr>
          <w:rFonts w:asciiTheme="minorHAnsi" w:hAnsiTheme="minorHAnsi" w:cs="Courier New"/>
          <w:sz w:val="22"/>
          <w:szCs w:val="22"/>
        </w:rPr>
        <w:t xml:space="preserve">new international standard with regards to investment protection. Indeed, BITs have proved popular even amongst countries typically opposed to foreign intervention; Latin American countries, China </w:t>
      </w:r>
      <w:r>
        <w:rPr>
          <w:rFonts w:asciiTheme="minorHAnsi" w:hAnsiTheme="minorHAnsi" w:cs="Courier New"/>
          <w:sz w:val="22"/>
          <w:szCs w:val="22"/>
        </w:rPr>
        <w:t xml:space="preserve">and </w:t>
      </w:r>
      <w:r w:rsidRPr="00D01CD3">
        <w:rPr>
          <w:rFonts w:asciiTheme="minorHAnsi" w:hAnsiTheme="minorHAnsi" w:cs="Courier New"/>
          <w:sz w:val="22"/>
          <w:szCs w:val="22"/>
        </w:rPr>
        <w:t xml:space="preserve">Russia have </w:t>
      </w:r>
      <w:r>
        <w:rPr>
          <w:rFonts w:asciiTheme="minorHAnsi" w:hAnsiTheme="minorHAnsi" w:cs="Courier New"/>
          <w:sz w:val="22"/>
          <w:szCs w:val="22"/>
        </w:rPr>
        <w:t xml:space="preserve">all </w:t>
      </w:r>
      <w:r w:rsidRPr="00D01CD3">
        <w:rPr>
          <w:rFonts w:asciiTheme="minorHAnsi" w:hAnsiTheme="minorHAnsi" w:cs="Courier New"/>
          <w:sz w:val="22"/>
          <w:szCs w:val="22"/>
        </w:rPr>
        <w:t xml:space="preserve">concluded </w:t>
      </w:r>
      <w:r>
        <w:rPr>
          <w:rFonts w:asciiTheme="minorHAnsi" w:hAnsiTheme="minorHAnsi" w:cs="Courier New"/>
          <w:sz w:val="22"/>
          <w:szCs w:val="22"/>
        </w:rPr>
        <w:t xml:space="preserve">a </w:t>
      </w:r>
      <w:r w:rsidRPr="00D01CD3">
        <w:rPr>
          <w:rFonts w:asciiTheme="minorHAnsi" w:hAnsiTheme="minorHAnsi" w:cs="Courier New"/>
          <w:sz w:val="22"/>
          <w:szCs w:val="22"/>
        </w:rPr>
        <w:t xml:space="preserve">large numbers of </w:t>
      </w:r>
      <w:r>
        <w:rPr>
          <w:rFonts w:asciiTheme="minorHAnsi" w:hAnsiTheme="minorHAnsi" w:cs="Courier New"/>
          <w:sz w:val="22"/>
          <w:szCs w:val="22"/>
        </w:rPr>
        <w:t xml:space="preserve">BITs </w:t>
      </w:r>
      <w:r w:rsidRPr="00D01CD3">
        <w:rPr>
          <w:rFonts w:asciiTheme="minorHAnsi" w:hAnsiTheme="minorHAnsi" w:cs="Courier New"/>
          <w:sz w:val="22"/>
          <w:szCs w:val="22"/>
        </w:rPr>
        <w:t xml:space="preserve">with economies </w:t>
      </w:r>
      <w:r>
        <w:rPr>
          <w:rFonts w:asciiTheme="minorHAnsi" w:hAnsiTheme="minorHAnsi" w:cs="Courier New"/>
          <w:sz w:val="22"/>
          <w:szCs w:val="22"/>
        </w:rPr>
        <w:t xml:space="preserve">in </w:t>
      </w:r>
      <w:r w:rsidRPr="00D01CD3">
        <w:rPr>
          <w:rFonts w:asciiTheme="minorHAnsi" w:hAnsiTheme="minorHAnsi" w:cs="Courier New"/>
          <w:sz w:val="22"/>
          <w:szCs w:val="22"/>
        </w:rPr>
        <w:t>the West. They have been documented as being instrumental in privatization initiatives in several Eastern European countries after the breakup of the USSR. While these treaties liberalize investment in theory, whether they do so in practice remains a contested issue.</w:t>
      </w:r>
    </w:p>
    <w:p w:rsidR="00AE181D" w:rsidRDefault="00AE181D" w:rsidP="00AE181D">
      <w:pPr>
        <w:pStyle w:val="PlainText"/>
        <w:spacing w:after="120" w:line="360" w:lineRule="auto"/>
        <w:jc w:val="both"/>
        <w:rPr>
          <w:rFonts w:asciiTheme="minorHAnsi" w:hAnsiTheme="minorHAnsi" w:cs="Courier New"/>
          <w:sz w:val="22"/>
          <w:szCs w:val="22"/>
        </w:rPr>
      </w:pPr>
      <w:r w:rsidRPr="00D01CD3">
        <w:rPr>
          <w:rFonts w:asciiTheme="minorHAnsi" w:hAnsiTheme="minorHAnsi" w:cs="Courier New"/>
          <w:sz w:val="22"/>
          <w:szCs w:val="22"/>
        </w:rPr>
        <w:t xml:space="preserve">As one of the first </w:t>
      </w:r>
      <w:r>
        <w:rPr>
          <w:rFonts w:asciiTheme="minorHAnsi" w:hAnsiTheme="minorHAnsi" w:cs="Courier New"/>
          <w:sz w:val="22"/>
          <w:szCs w:val="22"/>
        </w:rPr>
        <w:t xml:space="preserve">studies in this field, </w:t>
      </w:r>
      <w:r w:rsidRPr="00D01CD3">
        <w:rPr>
          <w:rFonts w:asciiTheme="minorHAnsi" w:hAnsiTheme="minorHAnsi" w:cs="Courier New"/>
          <w:sz w:val="22"/>
          <w:szCs w:val="22"/>
        </w:rPr>
        <w:t xml:space="preserve">Hallward-Driemeier (2003) </w:t>
      </w:r>
      <w:r>
        <w:rPr>
          <w:rFonts w:asciiTheme="minorHAnsi" w:hAnsiTheme="minorHAnsi" w:cs="Courier New"/>
          <w:sz w:val="22"/>
          <w:szCs w:val="22"/>
        </w:rPr>
        <w:t>casts doubt on</w:t>
      </w:r>
      <w:r w:rsidRPr="00D01CD3">
        <w:rPr>
          <w:rFonts w:asciiTheme="minorHAnsi" w:hAnsiTheme="minorHAnsi" w:cs="Courier New"/>
          <w:sz w:val="22"/>
          <w:szCs w:val="22"/>
        </w:rPr>
        <w:t xml:space="preserve"> the impact of BITs on FDI in developing countries. Neumayer and Spess (2005) </w:t>
      </w:r>
      <w:r>
        <w:rPr>
          <w:rFonts w:asciiTheme="minorHAnsi" w:hAnsiTheme="minorHAnsi" w:cs="Courier New"/>
          <w:sz w:val="22"/>
          <w:szCs w:val="22"/>
        </w:rPr>
        <w:t>strive</w:t>
      </w:r>
      <w:r w:rsidRPr="00D01CD3">
        <w:rPr>
          <w:rFonts w:asciiTheme="minorHAnsi" w:hAnsiTheme="minorHAnsi" w:cs="Courier New"/>
          <w:sz w:val="22"/>
          <w:szCs w:val="22"/>
        </w:rPr>
        <w:t xml:space="preserve"> to improve the analysis by regressing total FDI inflows instead of bilateral flows on the number of BITs signed, arguing that a signalling effect emanates not just to the contracting parties but also to third party countries who perceive a willin</w:t>
      </w:r>
      <w:r w:rsidRPr="00D01CD3">
        <w:rPr>
          <w:rFonts w:asciiTheme="minorHAnsi" w:hAnsiTheme="minorHAnsi" w:cs="Courier New"/>
          <w:sz w:val="22"/>
          <w:szCs w:val="22"/>
        </w:rPr>
        <w:t>g</w:t>
      </w:r>
      <w:r w:rsidRPr="00D01CD3">
        <w:rPr>
          <w:rFonts w:asciiTheme="minorHAnsi" w:hAnsiTheme="minorHAnsi" w:cs="Courier New"/>
          <w:sz w:val="22"/>
          <w:szCs w:val="22"/>
        </w:rPr>
        <w:t>ness to protect invest</w:t>
      </w:r>
      <w:r>
        <w:rPr>
          <w:rFonts w:asciiTheme="minorHAnsi" w:hAnsiTheme="minorHAnsi" w:cs="Courier New"/>
          <w:sz w:val="22"/>
          <w:szCs w:val="22"/>
        </w:rPr>
        <w:t>ors</w:t>
      </w:r>
      <w:r w:rsidRPr="00D01CD3">
        <w:rPr>
          <w:rFonts w:asciiTheme="minorHAnsi" w:hAnsiTheme="minorHAnsi" w:cs="Courier New"/>
          <w:sz w:val="22"/>
          <w:szCs w:val="22"/>
        </w:rPr>
        <w:t>. As such, they find a robust estimate for the effect of BITs in developing cou</w:t>
      </w:r>
      <w:r w:rsidRPr="00D01CD3">
        <w:rPr>
          <w:rFonts w:asciiTheme="minorHAnsi" w:hAnsiTheme="minorHAnsi" w:cs="Courier New"/>
          <w:sz w:val="22"/>
          <w:szCs w:val="22"/>
        </w:rPr>
        <w:t>n</w:t>
      </w:r>
      <w:r w:rsidRPr="00D01CD3">
        <w:rPr>
          <w:rFonts w:asciiTheme="minorHAnsi" w:hAnsiTheme="minorHAnsi" w:cs="Courier New"/>
          <w:sz w:val="22"/>
          <w:szCs w:val="22"/>
        </w:rPr>
        <w:t>tries, as well as some limited evidence that BITs act as substitutes to poor institutional quality. Interes</w:t>
      </w:r>
      <w:r w:rsidRPr="00D01CD3">
        <w:rPr>
          <w:rFonts w:asciiTheme="minorHAnsi" w:hAnsiTheme="minorHAnsi" w:cs="Courier New"/>
          <w:sz w:val="22"/>
          <w:szCs w:val="22"/>
        </w:rPr>
        <w:t>t</w:t>
      </w:r>
      <w:r w:rsidRPr="00D01CD3">
        <w:rPr>
          <w:rFonts w:asciiTheme="minorHAnsi" w:hAnsiTheme="minorHAnsi" w:cs="Courier New"/>
          <w:sz w:val="22"/>
          <w:szCs w:val="22"/>
        </w:rPr>
        <w:t>ingly, later attempts to evaluate the effectiveness of more stringent BITs, by controlling for the strength of ISDS measures, fail to observe a significant effect (Berger et al., 2011). However, it is u</w:t>
      </w:r>
      <w:r w:rsidRPr="00D01CD3">
        <w:rPr>
          <w:rFonts w:asciiTheme="minorHAnsi" w:hAnsiTheme="minorHAnsi" w:cs="Courier New"/>
          <w:sz w:val="22"/>
          <w:szCs w:val="22"/>
        </w:rPr>
        <w:t>n</w:t>
      </w:r>
      <w:r w:rsidRPr="00D01CD3">
        <w:rPr>
          <w:rFonts w:asciiTheme="minorHAnsi" w:hAnsiTheme="minorHAnsi" w:cs="Courier New"/>
          <w:sz w:val="22"/>
          <w:szCs w:val="22"/>
        </w:rPr>
        <w:t>clear what precise factors are used to label BITs as weak or strong in terms of their ISDS provisions, overall providing little in terms of comparing which particular features may carry more of an impact.</w:t>
      </w:r>
    </w:p>
    <w:p w:rsidR="00AE181D" w:rsidRDefault="00046F83" w:rsidP="00B05451">
      <w:pPr>
        <w:pStyle w:val="PlainText"/>
        <w:spacing w:after="120" w:line="360" w:lineRule="auto"/>
        <w:jc w:val="both"/>
        <w:rPr>
          <w:rFonts w:asciiTheme="minorHAnsi" w:hAnsiTheme="minorHAnsi" w:cs="Courier New"/>
          <w:sz w:val="22"/>
          <w:szCs w:val="22"/>
        </w:rPr>
      </w:pPr>
      <w:r w:rsidRPr="006E511F">
        <w:rPr>
          <w:rFonts w:asciiTheme="minorHAnsi" w:hAnsiTheme="minorHAnsi" w:cs="Courier New"/>
          <w:sz w:val="22"/>
          <w:szCs w:val="22"/>
        </w:rPr>
        <w:lastRenderedPageBreak/>
        <w:t xml:space="preserve">Antràs and Yeaple (2013) distinguish between two forms </w:t>
      </w:r>
      <w:r w:rsidRPr="00FA538E">
        <w:rPr>
          <w:rFonts w:asciiTheme="minorHAnsi" w:hAnsiTheme="minorHAnsi" w:cs="Courier New"/>
          <w:sz w:val="22"/>
          <w:szCs w:val="22"/>
        </w:rPr>
        <w:t>of FDI: horizontal and vertical</w:t>
      </w:r>
      <w:r w:rsidRPr="00046F83">
        <w:rPr>
          <w:rFonts w:asciiTheme="minorHAnsi" w:hAnsiTheme="minorHAnsi" w:cs="Courier New"/>
          <w:sz w:val="22"/>
          <w:szCs w:val="22"/>
        </w:rPr>
        <w:t xml:space="preserve">. </w:t>
      </w:r>
      <w:r w:rsidRPr="00DE6293">
        <w:rPr>
          <w:rFonts w:asciiTheme="minorHAnsi" w:hAnsiTheme="minorHAnsi" w:cs="Courier New"/>
          <w:sz w:val="22"/>
          <w:szCs w:val="22"/>
        </w:rPr>
        <w:t>Horizontal FDI is `an investment in a foreign production facility that is designed to serve customers in the foreign ma</w:t>
      </w:r>
      <w:r w:rsidRPr="00DE6293">
        <w:rPr>
          <w:rFonts w:asciiTheme="minorHAnsi" w:hAnsiTheme="minorHAnsi" w:cs="Courier New"/>
          <w:sz w:val="22"/>
          <w:szCs w:val="22"/>
        </w:rPr>
        <w:t>r</w:t>
      </w:r>
      <w:r w:rsidRPr="00DE6293">
        <w:rPr>
          <w:rFonts w:asciiTheme="minorHAnsi" w:hAnsiTheme="minorHAnsi" w:cs="Courier New"/>
          <w:sz w:val="22"/>
          <w:szCs w:val="22"/>
        </w:rPr>
        <w:t>ket' (Helpman, Melitz and Yeaple 2004). It is often performed when barriers to trade, usually tariffs or transportation costs, are too high for goods to simply be exported. Horizontal FDI can of course also</w:t>
      </w:r>
      <w:r w:rsidR="003B004B">
        <w:rPr>
          <w:rFonts w:asciiTheme="minorHAnsi" w:hAnsiTheme="minorHAnsi" w:cs="Courier New"/>
          <w:sz w:val="22"/>
          <w:szCs w:val="22"/>
        </w:rPr>
        <w:t xml:space="preserve"> be foreign affiliates of services firms to be close to the overseas market. </w:t>
      </w:r>
      <w:r w:rsidRPr="00DE6293">
        <w:rPr>
          <w:rFonts w:asciiTheme="minorHAnsi" w:hAnsiTheme="minorHAnsi" w:cs="Courier New"/>
          <w:sz w:val="22"/>
          <w:szCs w:val="22"/>
        </w:rPr>
        <w:t>Vertical FDI serves to pr</w:t>
      </w:r>
      <w:r w:rsidRPr="00DE6293">
        <w:rPr>
          <w:rFonts w:asciiTheme="minorHAnsi" w:hAnsiTheme="minorHAnsi" w:cs="Courier New"/>
          <w:sz w:val="22"/>
          <w:szCs w:val="22"/>
        </w:rPr>
        <w:t>o</w:t>
      </w:r>
      <w:r w:rsidRPr="00DE6293">
        <w:rPr>
          <w:rFonts w:asciiTheme="minorHAnsi" w:hAnsiTheme="minorHAnsi" w:cs="Courier New"/>
          <w:sz w:val="22"/>
          <w:szCs w:val="22"/>
        </w:rPr>
        <w:t>duce intermediate inputs abroad in order to exploit cost differences (Antràs and Yeaple, 2013; A</w:t>
      </w:r>
      <w:r w:rsidRPr="00DE6293">
        <w:rPr>
          <w:rFonts w:asciiTheme="minorHAnsi" w:hAnsiTheme="minorHAnsi" w:cs="Courier New"/>
          <w:sz w:val="22"/>
          <w:szCs w:val="22"/>
        </w:rPr>
        <w:t>n</w:t>
      </w:r>
      <w:r w:rsidRPr="00DE6293">
        <w:rPr>
          <w:rFonts w:asciiTheme="minorHAnsi" w:hAnsiTheme="minorHAnsi" w:cs="Courier New"/>
          <w:sz w:val="22"/>
          <w:szCs w:val="22"/>
        </w:rPr>
        <w:t>tràs and Helpman, 2004). Antràs and Helpman (2008) go one step further in describing how differences in cap</w:t>
      </w:r>
      <w:r w:rsidRPr="00DE6293">
        <w:rPr>
          <w:rFonts w:asciiTheme="minorHAnsi" w:hAnsiTheme="minorHAnsi" w:cs="Courier New"/>
          <w:sz w:val="22"/>
          <w:szCs w:val="22"/>
        </w:rPr>
        <w:t>i</w:t>
      </w:r>
      <w:r w:rsidRPr="00DE6293">
        <w:rPr>
          <w:rFonts w:asciiTheme="minorHAnsi" w:hAnsiTheme="minorHAnsi" w:cs="Courier New"/>
          <w:sz w:val="22"/>
          <w:szCs w:val="22"/>
        </w:rPr>
        <w:t>tal intensity of certain goods, plus their contract</w:t>
      </w:r>
      <w:r w:rsidRPr="00DE6293">
        <w:rPr>
          <w:rFonts w:asciiTheme="minorHAnsi" w:hAnsiTheme="minorHAnsi" w:cs="Courier New"/>
          <w:sz w:val="22"/>
          <w:szCs w:val="22"/>
        </w:rPr>
        <w:t>i</w:t>
      </w:r>
      <w:r w:rsidRPr="00DE6293">
        <w:rPr>
          <w:rFonts w:asciiTheme="minorHAnsi" w:hAnsiTheme="minorHAnsi" w:cs="Courier New"/>
          <w:sz w:val="22"/>
          <w:szCs w:val="22"/>
        </w:rPr>
        <w:t>bility, can explain different levels of FDI. This remark was exploited by Osnago, Rocha and Ruta (2015), when they investigated the effect of Preferential Trade Agreements (PTAs) on vertical integr</w:t>
      </w:r>
      <w:r w:rsidRPr="00DE6293">
        <w:rPr>
          <w:rFonts w:asciiTheme="minorHAnsi" w:hAnsiTheme="minorHAnsi" w:cs="Courier New"/>
          <w:sz w:val="22"/>
          <w:szCs w:val="22"/>
        </w:rPr>
        <w:t>a</w:t>
      </w:r>
      <w:r w:rsidRPr="00DE6293">
        <w:rPr>
          <w:rFonts w:asciiTheme="minorHAnsi" w:hAnsiTheme="minorHAnsi" w:cs="Courier New"/>
          <w:sz w:val="22"/>
          <w:szCs w:val="22"/>
        </w:rPr>
        <w:t>tion. PTAs that improve the contractibility for inputs, they argue, improve vertical FDI, although they distinguish from vertical FDI for headquarter services, for which FDI is u</w:t>
      </w:r>
      <w:r w:rsidRPr="00DE6293">
        <w:rPr>
          <w:rFonts w:asciiTheme="minorHAnsi" w:hAnsiTheme="minorHAnsi" w:cs="Courier New"/>
          <w:sz w:val="22"/>
          <w:szCs w:val="22"/>
        </w:rPr>
        <w:t>n</w:t>
      </w:r>
      <w:r w:rsidRPr="00DE6293">
        <w:rPr>
          <w:rFonts w:asciiTheme="minorHAnsi" w:hAnsiTheme="minorHAnsi" w:cs="Courier New"/>
          <w:sz w:val="22"/>
          <w:szCs w:val="22"/>
        </w:rPr>
        <w:t>changed.</w:t>
      </w:r>
    </w:p>
    <w:p w:rsidR="00AE181D" w:rsidRDefault="00504DCB" w:rsidP="00AE181D">
      <w:pPr>
        <w:pStyle w:val="PlainText"/>
        <w:numPr>
          <w:ilvl w:val="0"/>
          <w:numId w:val="2"/>
        </w:numPr>
        <w:spacing w:line="360" w:lineRule="auto"/>
        <w:jc w:val="both"/>
        <w:rPr>
          <w:rFonts w:asciiTheme="minorHAnsi" w:hAnsiTheme="minorHAnsi" w:cs="Courier New"/>
          <w:b/>
          <w:sz w:val="22"/>
          <w:szCs w:val="22"/>
        </w:rPr>
      </w:pPr>
      <w:r>
        <w:rPr>
          <w:rFonts w:asciiTheme="minorHAnsi" w:hAnsiTheme="minorHAnsi" w:cs="Courier New"/>
          <w:b/>
          <w:sz w:val="22"/>
          <w:szCs w:val="22"/>
        </w:rPr>
        <w:t>Data and M</w:t>
      </w:r>
      <w:r w:rsidR="00AE181D">
        <w:rPr>
          <w:rFonts w:asciiTheme="minorHAnsi" w:hAnsiTheme="minorHAnsi" w:cs="Courier New"/>
          <w:b/>
          <w:sz w:val="22"/>
          <w:szCs w:val="22"/>
        </w:rPr>
        <w:t>ethod</w:t>
      </w:r>
    </w:p>
    <w:p w:rsidR="00FA538E" w:rsidRDefault="00FA538E" w:rsidP="00FA538E">
      <w:pPr>
        <w:pStyle w:val="PlainText"/>
        <w:spacing w:after="120" w:line="360" w:lineRule="auto"/>
        <w:jc w:val="both"/>
        <w:rPr>
          <w:rFonts w:asciiTheme="minorHAnsi" w:hAnsiTheme="minorHAnsi" w:cs="Courier New"/>
          <w:sz w:val="22"/>
          <w:szCs w:val="22"/>
        </w:rPr>
      </w:pPr>
      <w:r>
        <w:rPr>
          <w:rFonts w:asciiTheme="minorHAnsi" w:hAnsiTheme="minorHAnsi" w:cs="Courier New"/>
          <w:sz w:val="22"/>
          <w:szCs w:val="22"/>
        </w:rPr>
        <w:t>B</w:t>
      </w:r>
      <w:r w:rsidRPr="004E00E7">
        <w:rPr>
          <w:rFonts w:asciiTheme="minorHAnsi" w:hAnsiTheme="minorHAnsi" w:cs="Courier New"/>
          <w:sz w:val="22"/>
          <w:szCs w:val="22"/>
        </w:rPr>
        <w:t>ilateral FDI flows are obtained from the O</w:t>
      </w:r>
      <w:r>
        <w:rPr>
          <w:rFonts w:asciiTheme="minorHAnsi" w:hAnsiTheme="minorHAnsi" w:cs="Courier New"/>
          <w:sz w:val="22"/>
          <w:szCs w:val="22"/>
        </w:rPr>
        <w:t>ECD’s database of FDI covering 34 countries (excluding La</w:t>
      </w:r>
      <w:r>
        <w:rPr>
          <w:rFonts w:asciiTheme="minorHAnsi" w:hAnsiTheme="minorHAnsi" w:cs="Courier New"/>
          <w:sz w:val="22"/>
          <w:szCs w:val="22"/>
        </w:rPr>
        <w:t>t</w:t>
      </w:r>
      <w:r>
        <w:rPr>
          <w:rFonts w:asciiTheme="minorHAnsi" w:hAnsiTheme="minorHAnsi" w:cs="Courier New"/>
          <w:sz w:val="22"/>
          <w:szCs w:val="22"/>
        </w:rPr>
        <w:t xml:space="preserve">via). Data from </w:t>
      </w:r>
      <w:r w:rsidRPr="004E00E7">
        <w:rPr>
          <w:rFonts w:asciiTheme="minorHAnsi" w:hAnsiTheme="minorHAnsi" w:cs="Courier New"/>
          <w:sz w:val="22"/>
          <w:szCs w:val="22"/>
        </w:rPr>
        <w:t xml:space="preserve">the </w:t>
      </w:r>
      <w:r>
        <w:rPr>
          <w:rFonts w:asciiTheme="minorHAnsi" w:hAnsiTheme="minorHAnsi" w:cs="Courier New"/>
          <w:sz w:val="22"/>
          <w:szCs w:val="22"/>
        </w:rPr>
        <w:t>3rd and 4th</w:t>
      </w:r>
      <w:r w:rsidRPr="004E00E7">
        <w:rPr>
          <w:rFonts w:asciiTheme="minorHAnsi" w:hAnsiTheme="minorHAnsi" w:cs="Courier New"/>
          <w:sz w:val="22"/>
          <w:szCs w:val="22"/>
        </w:rPr>
        <w:t xml:space="preserve"> Benchmark Definition</w:t>
      </w:r>
      <w:r>
        <w:rPr>
          <w:rFonts w:asciiTheme="minorHAnsi" w:hAnsiTheme="minorHAnsi" w:cs="Courier New"/>
          <w:sz w:val="22"/>
          <w:szCs w:val="22"/>
        </w:rPr>
        <w:t xml:space="preserve"> Editions are combined to extend the data series </w:t>
      </w:r>
      <w:r w:rsidRPr="004E00E7">
        <w:rPr>
          <w:rFonts w:asciiTheme="minorHAnsi" w:hAnsiTheme="minorHAnsi" w:cs="Courier New"/>
          <w:sz w:val="22"/>
          <w:szCs w:val="22"/>
        </w:rPr>
        <w:t>to 1985</w:t>
      </w:r>
      <w:r>
        <w:rPr>
          <w:rFonts w:asciiTheme="minorHAnsi" w:hAnsiTheme="minorHAnsi" w:cs="Courier New"/>
          <w:sz w:val="22"/>
          <w:szCs w:val="22"/>
        </w:rPr>
        <w:t>. Po</w:t>
      </w:r>
      <w:r w:rsidRPr="004E00E7">
        <w:rPr>
          <w:rFonts w:asciiTheme="minorHAnsi" w:hAnsiTheme="minorHAnsi" w:cs="Courier New"/>
          <w:sz w:val="22"/>
          <w:szCs w:val="22"/>
        </w:rPr>
        <w:t>ssible breaks in the datasets are taken into consideration</w:t>
      </w:r>
      <w:r>
        <w:rPr>
          <w:rFonts w:asciiTheme="minorHAnsi" w:hAnsiTheme="minorHAnsi" w:cs="Courier New"/>
          <w:sz w:val="22"/>
          <w:szCs w:val="22"/>
        </w:rPr>
        <w:t>, and all</w:t>
      </w:r>
      <w:r w:rsidRPr="004E00E7">
        <w:rPr>
          <w:rFonts w:asciiTheme="minorHAnsi" w:hAnsiTheme="minorHAnsi" w:cs="Courier New"/>
          <w:sz w:val="22"/>
          <w:szCs w:val="22"/>
        </w:rPr>
        <w:t xml:space="preserve"> data</w:t>
      </w:r>
      <w:r>
        <w:rPr>
          <w:rFonts w:asciiTheme="minorHAnsi" w:hAnsiTheme="minorHAnsi" w:cs="Courier New"/>
          <w:sz w:val="22"/>
          <w:szCs w:val="22"/>
        </w:rPr>
        <w:t xml:space="preserve"> is </w:t>
      </w:r>
      <w:r w:rsidRPr="004E00E7">
        <w:rPr>
          <w:rFonts w:asciiTheme="minorHAnsi" w:hAnsiTheme="minorHAnsi" w:cs="Courier New"/>
          <w:sz w:val="22"/>
          <w:szCs w:val="22"/>
        </w:rPr>
        <w:t xml:space="preserve">in millions of </w:t>
      </w:r>
      <w:r>
        <w:rPr>
          <w:rFonts w:asciiTheme="minorHAnsi" w:hAnsiTheme="minorHAnsi" w:cs="Courier New"/>
          <w:sz w:val="22"/>
          <w:szCs w:val="22"/>
        </w:rPr>
        <w:t>USD</w:t>
      </w:r>
      <w:r w:rsidRPr="004E00E7">
        <w:rPr>
          <w:rFonts w:asciiTheme="minorHAnsi" w:hAnsiTheme="minorHAnsi" w:cs="Courier New"/>
          <w:sz w:val="22"/>
          <w:szCs w:val="22"/>
        </w:rPr>
        <w:t>. The OECD also provides data on real Gross Domestic Product (GDP)</w:t>
      </w:r>
      <w:r>
        <w:rPr>
          <w:rFonts w:asciiTheme="minorHAnsi" w:hAnsiTheme="minorHAnsi" w:cs="Courier New"/>
          <w:sz w:val="22"/>
          <w:szCs w:val="22"/>
        </w:rPr>
        <w:t xml:space="preserve"> </w:t>
      </w:r>
      <w:r w:rsidRPr="004E00E7">
        <w:rPr>
          <w:rFonts w:asciiTheme="minorHAnsi" w:hAnsiTheme="minorHAnsi" w:cs="Courier New"/>
          <w:sz w:val="22"/>
          <w:szCs w:val="22"/>
        </w:rPr>
        <w:t xml:space="preserve">in millions of USD with 2010 as the reference year. </w:t>
      </w:r>
      <w:r>
        <w:rPr>
          <w:rFonts w:asciiTheme="minorHAnsi" w:hAnsiTheme="minorHAnsi" w:cs="Courier New"/>
          <w:sz w:val="22"/>
          <w:szCs w:val="22"/>
        </w:rPr>
        <w:t xml:space="preserve">The </w:t>
      </w:r>
      <w:r w:rsidRPr="004E00E7">
        <w:rPr>
          <w:rFonts w:asciiTheme="minorHAnsi" w:hAnsiTheme="minorHAnsi" w:cs="Courier New"/>
          <w:sz w:val="22"/>
          <w:szCs w:val="22"/>
        </w:rPr>
        <w:t>data on the value of bilateral trade in goods and services, documented in tho</w:t>
      </w:r>
      <w:r w:rsidRPr="004E00E7">
        <w:rPr>
          <w:rFonts w:asciiTheme="minorHAnsi" w:hAnsiTheme="minorHAnsi" w:cs="Courier New"/>
          <w:sz w:val="22"/>
          <w:szCs w:val="22"/>
        </w:rPr>
        <w:t>u</w:t>
      </w:r>
      <w:r w:rsidRPr="004E00E7">
        <w:rPr>
          <w:rFonts w:asciiTheme="minorHAnsi" w:hAnsiTheme="minorHAnsi" w:cs="Courier New"/>
          <w:sz w:val="22"/>
          <w:szCs w:val="22"/>
        </w:rPr>
        <w:t>sands of USD, is provided by the OECD’s Structural Analysis (STAN) database.</w:t>
      </w:r>
    </w:p>
    <w:p w:rsidR="00FA538E" w:rsidRDefault="00FA538E" w:rsidP="00FA538E">
      <w:pPr>
        <w:pStyle w:val="PlainText"/>
        <w:spacing w:after="120" w:line="360" w:lineRule="auto"/>
        <w:jc w:val="both"/>
        <w:rPr>
          <w:rFonts w:asciiTheme="minorHAnsi" w:hAnsiTheme="minorHAnsi" w:cs="Courier New"/>
          <w:sz w:val="22"/>
          <w:szCs w:val="22"/>
        </w:rPr>
      </w:pPr>
      <w:r w:rsidRPr="00DE6293">
        <w:rPr>
          <w:rFonts w:asciiTheme="minorHAnsi" w:hAnsiTheme="minorHAnsi" w:cs="Courier New"/>
          <w:sz w:val="22"/>
          <w:szCs w:val="22"/>
        </w:rPr>
        <w:t>We note that the OECD define FDI flows as investment that serves to establish a lasting interest in an enterprise located outside of the investor's home nation (OECD 2009). The keywords `lasting interest' imply a long term commitment on the part of the investor which the OECD and IMF interpret as ow</w:t>
      </w:r>
      <w:r w:rsidRPr="00DE6293">
        <w:rPr>
          <w:rFonts w:asciiTheme="minorHAnsi" w:hAnsiTheme="minorHAnsi" w:cs="Courier New"/>
          <w:sz w:val="22"/>
          <w:szCs w:val="22"/>
        </w:rPr>
        <w:t>n</w:t>
      </w:r>
      <w:r w:rsidRPr="00DE6293">
        <w:rPr>
          <w:rFonts w:asciiTheme="minorHAnsi" w:hAnsiTheme="minorHAnsi" w:cs="Courier New"/>
          <w:sz w:val="22"/>
          <w:szCs w:val="22"/>
        </w:rPr>
        <w:t>ership above a 10% threshold. The OECD documents direct investment statistics in the form of debt and equity, plus the resulting income or financial flows, which are then categorized by home and source countries, as well as the host industry. While FDI statistics seem straightforward and suitable for analysis, the links between FDI and trade in goods and services is complex due in part to the growth of global supply chains.</w:t>
      </w:r>
    </w:p>
    <w:p w:rsidR="00046F83" w:rsidRDefault="00046F83" w:rsidP="00046F83">
      <w:pPr>
        <w:pStyle w:val="PlainText"/>
        <w:spacing w:after="120" w:line="360" w:lineRule="auto"/>
        <w:jc w:val="both"/>
        <w:rPr>
          <w:rFonts w:asciiTheme="minorHAnsi" w:hAnsiTheme="minorHAnsi" w:cs="Courier New"/>
          <w:sz w:val="22"/>
          <w:szCs w:val="22"/>
        </w:rPr>
      </w:pPr>
      <w:r>
        <w:rPr>
          <w:rFonts w:asciiTheme="minorHAnsi" w:hAnsiTheme="minorHAnsi" w:cs="Courier New"/>
          <w:sz w:val="22"/>
          <w:szCs w:val="22"/>
        </w:rPr>
        <w:t>The</w:t>
      </w:r>
      <w:r w:rsidRPr="004E00E7">
        <w:rPr>
          <w:rFonts w:asciiTheme="minorHAnsi" w:hAnsiTheme="minorHAnsi" w:cs="Courier New"/>
          <w:sz w:val="22"/>
          <w:szCs w:val="22"/>
        </w:rPr>
        <w:t xml:space="preserve"> </w:t>
      </w:r>
      <w:r>
        <w:rPr>
          <w:rFonts w:asciiTheme="minorHAnsi" w:hAnsiTheme="minorHAnsi" w:cs="Courier New"/>
          <w:sz w:val="22"/>
          <w:szCs w:val="22"/>
        </w:rPr>
        <w:t xml:space="preserve">data </w:t>
      </w:r>
      <w:r w:rsidRPr="004E00E7">
        <w:rPr>
          <w:rFonts w:asciiTheme="minorHAnsi" w:hAnsiTheme="minorHAnsi" w:cs="Courier New"/>
          <w:sz w:val="22"/>
          <w:szCs w:val="22"/>
        </w:rPr>
        <w:t xml:space="preserve">panel </w:t>
      </w:r>
      <w:r>
        <w:rPr>
          <w:rFonts w:asciiTheme="minorHAnsi" w:hAnsiTheme="minorHAnsi" w:cs="Courier New"/>
          <w:sz w:val="22"/>
          <w:szCs w:val="22"/>
        </w:rPr>
        <w:t xml:space="preserve">includes information for 34 OECD economics, forming a total of </w:t>
      </w:r>
      <w:r w:rsidRPr="004E00E7">
        <w:rPr>
          <w:rFonts w:asciiTheme="minorHAnsi" w:hAnsiTheme="minorHAnsi" w:cs="Courier New"/>
          <w:sz w:val="22"/>
          <w:szCs w:val="22"/>
        </w:rPr>
        <w:t>1</w:t>
      </w:r>
      <w:r>
        <w:rPr>
          <w:rFonts w:asciiTheme="minorHAnsi" w:hAnsiTheme="minorHAnsi" w:cs="Courier New"/>
          <w:sz w:val="22"/>
          <w:szCs w:val="22"/>
        </w:rPr>
        <w:t>,</w:t>
      </w:r>
      <w:r w:rsidRPr="004E00E7">
        <w:rPr>
          <w:rFonts w:asciiTheme="minorHAnsi" w:hAnsiTheme="minorHAnsi" w:cs="Courier New"/>
          <w:sz w:val="22"/>
          <w:szCs w:val="22"/>
        </w:rPr>
        <w:t>122 host</w:t>
      </w:r>
      <w:r>
        <w:rPr>
          <w:rFonts w:asciiTheme="minorHAnsi" w:hAnsiTheme="minorHAnsi" w:cs="Courier New"/>
          <w:sz w:val="22"/>
          <w:szCs w:val="22"/>
        </w:rPr>
        <w:t xml:space="preserve"> to </w:t>
      </w:r>
      <w:r w:rsidRPr="004E00E7">
        <w:rPr>
          <w:rFonts w:asciiTheme="minorHAnsi" w:hAnsiTheme="minorHAnsi" w:cs="Courier New"/>
          <w:sz w:val="22"/>
          <w:szCs w:val="22"/>
        </w:rPr>
        <w:t xml:space="preserve">source </w:t>
      </w:r>
      <w:r>
        <w:rPr>
          <w:rFonts w:asciiTheme="minorHAnsi" w:hAnsiTheme="minorHAnsi" w:cs="Courier New"/>
          <w:sz w:val="22"/>
          <w:szCs w:val="22"/>
        </w:rPr>
        <w:t>pairings (34 x 33 = 1,122)</w:t>
      </w:r>
      <w:r w:rsidRPr="004E00E7">
        <w:rPr>
          <w:rFonts w:asciiTheme="minorHAnsi" w:hAnsiTheme="minorHAnsi" w:cs="Courier New"/>
          <w:sz w:val="22"/>
          <w:szCs w:val="22"/>
        </w:rPr>
        <w:t xml:space="preserve"> </w:t>
      </w:r>
      <w:r>
        <w:rPr>
          <w:rFonts w:asciiTheme="minorHAnsi" w:hAnsiTheme="minorHAnsi" w:cs="Courier New"/>
          <w:sz w:val="22"/>
          <w:szCs w:val="22"/>
        </w:rPr>
        <w:t xml:space="preserve">with </w:t>
      </w:r>
      <w:r w:rsidRPr="004E00E7">
        <w:rPr>
          <w:rFonts w:asciiTheme="minorHAnsi" w:hAnsiTheme="minorHAnsi" w:cs="Courier New"/>
          <w:sz w:val="22"/>
          <w:szCs w:val="22"/>
        </w:rPr>
        <w:t>observations from 1985 to 2015</w:t>
      </w:r>
      <w:r>
        <w:rPr>
          <w:rFonts w:asciiTheme="minorHAnsi" w:hAnsiTheme="minorHAnsi" w:cs="Courier New"/>
          <w:sz w:val="22"/>
          <w:szCs w:val="22"/>
        </w:rPr>
        <w:t>.</w:t>
      </w:r>
      <w:r w:rsidRPr="004E00E7">
        <w:rPr>
          <w:rFonts w:asciiTheme="minorHAnsi" w:hAnsiTheme="minorHAnsi" w:cs="Courier New"/>
          <w:sz w:val="22"/>
          <w:szCs w:val="22"/>
        </w:rPr>
        <w:t xml:space="preserve"> Inflows depend on the specific host and source pair; observations for FDI inflows from the United States to Mexico are different to inflows </w:t>
      </w:r>
      <w:r w:rsidRPr="004E00E7">
        <w:rPr>
          <w:rFonts w:asciiTheme="minorHAnsi" w:hAnsiTheme="minorHAnsi" w:cs="Courier New"/>
          <w:sz w:val="22"/>
          <w:szCs w:val="22"/>
        </w:rPr>
        <w:lastRenderedPageBreak/>
        <w:t>from Mexico to the United States. Unfortunately, not all host-source pairs have FDI data available in every year. In fact, some groups, for example with Canada as host, report no FDI at all over the rel</w:t>
      </w:r>
      <w:r w:rsidRPr="004E00E7">
        <w:rPr>
          <w:rFonts w:asciiTheme="minorHAnsi" w:hAnsiTheme="minorHAnsi" w:cs="Courier New"/>
          <w:sz w:val="22"/>
          <w:szCs w:val="22"/>
        </w:rPr>
        <w:t>e</w:t>
      </w:r>
      <w:r w:rsidRPr="004E00E7">
        <w:rPr>
          <w:rFonts w:asciiTheme="minorHAnsi" w:hAnsiTheme="minorHAnsi" w:cs="Courier New"/>
          <w:sz w:val="22"/>
          <w:szCs w:val="22"/>
        </w:rPr>
        <w:t xml:space="preserve">vant years, which consequently limit the size of the panel: 20,985 observations on FDI inflows are </w:t>
      </w:r>
      <w:r>
        <w:rPr>
          <w:rFonts w:asciiTheme="minorHAnsi" w:hAnsiTheme="minorHAnsi" w:cs="Courier New"/>
          <w:sz w:val="22"/>
          <w:szCs w:val="22"/>
        </w:rPr>
        <w:t>counted</w:t>
      </w:r>
      <w:r w:rsidRPr="004E00E7">
        <w:rPr>
          <w:rFonts w:asciiTheme="minorHAnsi" w:hAnsiTheme="minorHAnsi" w:cs="Courier New"/>
          <w:sz w:val="22"/>
          <w:szCs w:val="22"/>
        </w:rPr>
        <w:t xml:space="preserve"> out of a possible total of 34,647. </w:t>
      </w:r>
      <w:r>
        <w:rPr>
          <w:rFonts w:asciiTheme="minorHAnsi" w:hAnsiTheme="minorHAnsi" w:cs="Courier New"/>
          <w:sz w:val="22"/>
          <w:szCs w:val="22"/>
        </w:rPr>
        <w:t xml:space="preserve">Of these observations </w:t>
      </w:r>
      <w:r w:rsidRPr="004E00E7">
        <w:rPr>
          <w:rFonts w:asciiTheme="minorHAnsi" w:hAnsiTheme="minorHAnsi" w:cs="Courier New"/>
          <w:sz w:val="22"/>
          <w:szCs w:val="22"/>
        </w:rPr>
        <w:t>4,660 are negative</w:t>
      </w:r>
      <w:r>
        <w:rPr>
          <w:rFonts w:asciiTheme="minorHAnsi" w:hAnsiTheme="minorHAnsi" w:cs="Courier New"/>
          <w:sz w:val="22"/>
          <w:szCs w:val="22"/>
        </w:rPr>
        <w:t xml:space="preserve"> (inter-company outflows exceed inward investment) </w:t>
      </w:r>
      <w:r w:rsidRPr="004E00E7">
        <w:rPr>
          <w:rFonts w:asciiTheme="minorHAnsi" w:hAnsiTheme="minorHAnsi" w:cs="Courier New"/>
          <w:sz w:val="22"/>
          <w:szCs w:val="22"/>
        </w:rPr>
        <w:t>and a further 3,070 are reported as zero.</w:t>
      </w:r>
      <w:r>
        <w:rPr>
          <w:rFonts w:asciiTheme="minorHAnsi" w:hAnsiTheme="minorHAnsi" w:cs="Courier New"/>
          <w:sz w:val="22"/>
          <w:szCs w:val="22"/>
        </w:rPr>
        <w:t xml:space="preserve"> Appendix </w:t>
      </w:r>
      <w:r w:rsidR="00184C0D">
        <w:rPr>
          <w:rFonts w:asciiTheme="minorHAnsi" w:hAnsiTheme="minorHAnsi" w:cs="Courier New"/>
          <w:sz w:val="22"/>
          <w:szCs w:val="22"/>
        </w:rPr>
        <w:t>3</w:t>
      </w:r>
      <w:r>
        <w:rPr>
          <w:rFonts w:asciiTheme="minorHAnsi" w:hAnsiTheme="minorHAnsi" w:cs="Courier New"/>
          <w:sz w:val="22"/>
          <w:szCs w:val="22"/>
        </w:rPr>
        <w:t xml:space="preserve"> provides a</w:t>
      </w:r>
      <w:r>
        <w:rPr>
          <w:rFonts w:asciiTheme="minorHAnsi" w:hAnsiTheme="minorHAnsi" w:cs="Courier New"/>
          <w:sz w:val="22"/>
          <w:szCs w:val="22"/>
        </w:rPr>
        <w:t>d</w:t>
      </w:r>
      <w:r>
        <w:rPr>
          <w:rFonts w:asciiTheme="minorHAnsi" w:hAnsiTheme="minorHAnsi" w:cs="Courier New"/>
          <w:sz w:val="22"/>
          <w:szCs w:val="22"/>
        </w:rPr>
        <w:t>ditional summary statistics for all the variables.</w:t>
      </w:r>
    </w:p>
    <w:p w:rsidR="00FA538E" w:rsidRDefault="00FA538E" w:rsidP="00FA538E">
      <w:pPr>
        <w:pStyle w:val="PlainText"/>
        <w:spacing w:after="120" w:line="360" w:lineRule="auto"/>
        <w:jc w:val="both"/>
        <w:rPr>
          <w:rFonts w:asciiTheme="minorHAnsi" w:hAnsiTheme="minorHAnsi" w:cs="Courier New"/>
          <w:sz w:val="22"/>
          <w:szCs w:val="22"/>
        </w:rPr>
      </w:pPr>
      <w:r>
        <w:rPr>
          <w:rFonts w:asciiTheme="minorHAnsi" w:hAnsiTheme="minorHAnsi" w:cs="Courier New"/>
          <w:sz w:val="22"/>
          <w:szCs w:val="22"/>
        </w:rPr>
        <w:t>Table 1 summarises the total BITs by OECD member states: 189 pairs of countries hold BITs, amounting to a total of 398 observations for BITs entering the dataset (BITs enforced by the Belgium-Luxembourg Economic Union feature as BITs for both Belgium and Luxembourg, since FDI data is available for both individually)</w:t>
      </w:r>
      <w:r w:rsidRPr="004E00E7">
        <w:rPr>
          <w:rFonts w:asciiTheme="minorHAnsi" w:hAnsiTheme="minorHAnsi" w:cs="Courier New"/>
          <w:sz w:val="22"/>
          <w:szCs w:val="22"/>
        </w:rPr>
        <w:t>.</w:t>
      </w:r>
      <w:r>
        <w:rPr>
          <w:rFonts w:asciiTheme="minorHAnsi" w:hAnsiTheme="minorHAnsi" w:cs="Courier New"/>
          <w:sz w:val="22"/>
          <w:szCs w:val="22"/>
        </w:rPr>
        <w:t xml:space="preserve"> It is clear that of the 398 treaties 326 have pre-consent to an ISDS process (assuming that the unmapped do not have ISDS). The data showing the provisions are taken from the UNCTAD d</w:t>
      </w:r>
      <w:r>
        <w:rPr>
          <w:rFonts w:asciiTheme="minorHAnsi" w:hAnsiTheme="minorHAnsi" w:cs="Courier New"/>
          <w:sz w:val="22"/>
          <w:szCs w:val="22"/>
        </w:rPr>
        <w:t>a</w:t>
      </w:r>
      <w:r>
        <w:rPr>
          <w:rFonts w:asciiTheme="minorHAnsi" w:hAnsiTheme="minorHAnsi" w:cs="Courier New"/>
          <w:sz w:val="22"/>
          <w:szCs w:val="22"/>
        </w:rPr>
        <w:t xml:space="preserve">taset. The control group for BITs without ISDS also includes BITs that do not have pre-consent to ISDS, due to the low sample size of such BITs; this is in line with Berger et al. (2011). </w:t>
      </w:r>
    </w:p>
    <w:tbl>
      <w:tblPr>
        <w:tblW w:w="9365" w:type="dxa"/>
        <w:jc w:val="center"/>
        <w:tblInd w:w="93" w:type="dxa"/>
        <w:tblLook w:val="04A0" w:firstRow="1" w:lastRow="0" w:firstColumn="1" w:lastColumn="0" w:noHBand="0" w:noVBand="1"/>
      </w:tblPr>
      <w:tblGrid>
        <w:gridCol w:w="6579"/>
        <w:gridCol w:w="1254"/>
        <w:gridCol w:w="1532"/>
      </w:tblGrid>
      <w:tr w:rsidR="00FA538E" w:rsidRPr="00FA6713" w:rsidTr="00B05451">
        <w:trPr>
          <w:trHeight w:val="269"/>
          <w:jc w:val="center"/>
        </w:trPr>
        <w:tc>
          <w:tcPr>
            <w:tcW w:w="0" w:type="auto"/>
            <w:gridSpan w:val="3"/>
            <w:tcBorders>
              <w:top w:val="nil"/>
              <w:left w:val="nil"/>
              <w:bottom w:val="nil"/>
              <w:right w:val="nil"/>
            </w:tcBorders>
            <w:shd w:val="clear" w:color="000000" w:fill="F2DCDB"/>
            <w:noWrap/>
            <w:vAlign w:val="bottom"/>
            <w:hideMark/>
          </w:tcPr>
          <w:p w:rsidR="00FA538E" w:rsidRPr="00FA6713" w:rsidRDefault="00FA538E" w:rsidP="00B05451">
            <w:pPr>
              <w:spacing w:after="0" w:line="240" w:lineRule="auto"/>
              <w:rPr>
                <w:rFonts w:ascii="Gill Sans MT" w:eastAsia="Times New Roman" w:hAnsi="Gill Sans MT" w:cs="Times New Roman"/>
                <w:color w:val="AA273E"/>
                <w:sz w:val="28"/>
                <w:szCs w:val="28"/>
                <w:lang w:eastAsia="en-GB"/>
              </w:rPr>
            </w:pPr>
            <w:r>
              <w:rPr>
                <w:rFonts w:ascii="Gill Sans MT" w:eastAsia="Times New Roman" w:hAnsi="Gill Sans MT" w:cs="Times New Roman"/>
                <w:color w:val="AA273E"/>
                <w:sz w:val="28"/>
                <w:szCs w:val="28"/>
                <w:lang w:eastAsia="en-GB"/>
              </w:rPr>
              <w:t>Table 1</w:t>
            </w:r>
            <w:r w:rsidRPr="00FA6713">
              <w:rPr>
                <w:rFonts w:ascii="Gill Sans MT" w:eastAsia="Times New Roman" w:hAnsi="Gill Sans MT" w:cs="Times New Roman"/>
                <w:color w:val="AA273E"/>
                <w:sz w:val="28"/>
                <w:szCs w:val="28"/>
                <w:lang w:eastAsia="en-GB"/>
              </w:rPr>
              <w:t xml:space="preserve">. Descriptive Statistics </w:t>
            </w:r>
            <w:r>
              <w:rPr>
                <w:rFonts w:ascii="Gill Sans MT" w:eastAsia="Times New Roman" w:hAnsi="Gill Sans MT" w:cs="Times New Roman"/>
                <w:color w:val="AA273E"/>
                <w:sz w:val="28"/>
                <w:szCs w:val="28"/>
                <w:lang w:eastAsia="en-GB"/>
              </w:rPr>
              <w:t>of</w:t>
            </w:r>
            <w:r w:rsidRPr="00FA6713">
              <w:rPr>
                <w:rFonts w:ascii="Gill Sans MT" w:eastAsia="Times New Roman" w:hAnsi="Gill Sans MT" w:cs="Times New Roman"/>
                <w:color w:val="AA273E"/>
                <w:sz w:val="28"/>
                <w:szCs w:val="28"/>
                <w:lang w:eastAsia="en-GB"/>
              </w:rPr>
              <w:t xml:space="preserve"> BITs</w:t>
            </w:r>
            <w:r>
              <w:rPr>
                <w:rFonts w:ascii="Gill Sans MT" w:eastAsia="Times New Roman" w:hAnsi="Gill Sans MT" w:cs="Times New Roman"/>
                <w:color w:val="AA273E"/>
                <w:sz w:val="28"/>
                <w:szCs w:val="28"/>
                <w:lang w:eastAsia="en-GB"/>
              </w:rPr>
              <w:t xml:space="preserve"> by OECD member state</w:t>
            </w:r>
          </w:p>
        </w:tc>
      </w:tr>
      <w:tr w:rsidR="00FA538E" w:rsidRPr="00FA6713" w:rsidTr="00B05451">
        <w:trPr>
          <w:trHeight w:val="234"/>
          <w:jc w:val="center"/>
        </w:trPr>
        <w:tc>
          <w:tcPr>
            <w:tcW w:w="0" w:type="auto"/>
            <w:tcBorders>
              <w:top w:val="nil"/>
              <w:left w:val="nil"/>
              <w:bottom w:val="nil"/>
              <w:right w:val="nil"/>
            </w:tcBorders>
            <w:shd w:val="clear" w:color="auto" w:fill="auto"/>
            <w:noWrap/>
            <w:vAlign w:val="bottom"/>
            <w:hideMark/>
          </w:tcPr>
          <w:p w:rsidR="00FA538E" w:rsidRPr="00FA6713" w:rsidRDefault="00FA538E" w:rsidP="00B05451">
            <w:pPr>
              <w:spacing w:after="0" w:line="240" w:lineRule="auto"/>
              <w:rPr>
                <w:rFonts w:ascii="Gill Sans MT" w:eastAsia="Times New Roman" w:hAnsi="Gill Sans MT" w:cs="Times New Roman"/>
                <w:color w:val="000000"/>
                <w:sz w:val="24"/>
                <w:szCs w:val="24"/>
                <w:lang w:eastAsia="en-GB"/>
              </w:rPr>
            </w:pPr>
          </w:p>
        </w:tc>
        <w:tc>
          <w:tcPr>
            <w:tcW w:w="0" w:type="auto"/>
            <w:tcBorders>
              <w:top w:val="nil"/>
              <w:left w:val="nil"/>
              <w:bottom w:val="nil"/>
              <w:right w:val="nil"/>
            </w:tcBorders>
            <w:shd w:val="clear" w:color="auto" w:fill="auto"/>
            <w:noWrap/>
            <w:vAlign w:val="bottom"/>
            <w:hideMark/>
          </w:tcPr>
          <w:p w:rsidR="00FA538E" w:rsidRPr="00FA6713" w:rsidRDefault="00FA538E" w:rsidP="00B05451">
            <w:pPr>
              <w:spacing w:after="0" w:line="240" w:lineRule="auto"/>
              <w:jc w:val="right"/>
              <w:rPr>
                <w:rFonts w:ascii="Gill Sans MT" w:eastAsia="Times New Roman" w:hAnsi="Gill Sans MT" w:cs="Times New Roman"/>
                <w:color w:val="000000"/>
                <w:sz w:val="24"/>
                <w:szCs w:val="24"/>
                <w:lang w:eastAsia="en-GB"/>
              </w:rPr>
            </w:pPr>
            <w:r w:rsidRPr="00FA6713">
              <w:rPr>
                <w:rFonts w:ascii="Gill Sans MT" w:eastAsia="Times New Roman" w:hAnsi="Gill Sans MT" w:cs="Times New Roman"/>
                <w:color w:val="000000"/>
                <w:sz w:val="24"/>
                <w:szCs w:val="24"/>
                <w:lang w:eastAsia="en-GB"/>
              </w:rPr>
              <w:t>Number</w:t>
            </w:r>
          </w:p>
        </w:tc>
        <w:tc>
          <w:tcPr>
            <w:tcW w:w="0" w:type="auto"/>
            <w:tcBorders>
              <w:top w:val="nil"/>
              <w:left w:val="nil"/>
              <w:bottom w:val="nil"/>
              <w:right w:val="nil"/>
            </w:tcBorders>
            <w:shd w:val="clear" w:color="auto" w:fill="auto"/>
            <w:noWrap/>
            <w:vAlign w:val="bottom"/>
            <w:hideMark/>
          </w:tcPr>
          <w:p w:rsidR="00FA538E" w:rsidRPr="00FA6713" w:rsidRDefault="00FA538E" w:rsidP="00B05451">
            <w:pPr>
              <w:spacing w:after="0" w:line="240" w:lineRule="auto"/>
              <w:jc w:val="right"/>
              <w:rPr>
                <w:rFonts w:ascii="Gill Sans MT" w:eastAsia="Times New Roman" w:hAnsi="Gill Sans MT" w:cs="Times New Roman"/>
                <w:color w:val="000000"/>
                <w:sz w:val="24"/>
                <w:szCs w:val="24"/>
                <w:lang w:eastAsia="en-GB"/>
              </w:rPr>
            </w:pPr>
            <w:r w:rsidRPr="00FA6713">
              <w:rPr>
                <w:rFonts w:ascii="Gill Sans MT" w:eastAsia="Times New Roman" w:hAnsi="Gill Sans MT" w:cs="Times New Roman"/>
                <w:color w:val="000000"/>
                <w:sz w:val="24"/>
                <w:szCs w:val="24"/>
                <w:lang w:eastAsia="en-GB"/>
              </w:rPr>
              <w:t>Percentage</w:t>
            </w:r>
          </w:p>
        </w:tc>
      </w:tr>
      <w:tr w:rsidR="00FA538E" w:rsidRPr="00FA6713" w:rsidTr="00B05451">
        <w:trPr>
          <w:trHeight w:val="234"/>
          <w:jc w:val="center"/>
        </w:trPr>
        <w:tc>
          <w:tcPr>
            <w:tcW w:w="0" w:type="auto"/>
            <w:tcBorders>
              <w:top w:val="nil"/>
              <w:left w:val="nil"/>
              <w:bottom w:val="nil"/>
              <w:right w:val="nil"/>
            </w:tcBorders>
            <w:shd w:val="clear" w:color="auto" w:fill="auto"/>
            <w:noWrap/>
            <w:vAlign w:val="center"/>
            <w:hideMark/>
          </w:tcPr>
          <w:p w:rsidR="00FA538E" w:rsidRPr="00FA6713" w:rsidRDefault="00FA538E" w:rsidP="00B05451">
            <w:pPr>
              <w:spacing w:after="0" w:line="240" w:lineRule="auto"/>
              <w:rPr>
                <w:rFonts w:ascii="Gill Sans MT" w:eastAsia="Times New Roman" w:hAnsi="Gill Sans MT" w:cs="Times New Roman"/>
                <w:color w:val="000000"/>
                <w:sz w:val="24"/>
                <w:szCs w:val="24"/>
                <w:lang w:eastAsia="en-GB"/>
              </w:rPr>
            </w:pPr>
            <w:r w:rsidRPr="00FA6713">
              <w:rPr>
                <w:rFonts w:ascii="Gill Sans MT" w:eastAsia="Times New Roman" w:hAnsi="Gill Sans MT" w:cs="Times New Roman"/>
                <w:color w:val="000000"/>
                <w:sz w:val="24"/>
                <w:szCs w:val="24"/>
                <w:lang w:eastAsia="en-GB"/>
              </w:rPr>
              <w:t xml:space="preserve">Total BITs </w:t>
            </w:r>
            <w:r>
              <w:rPr>
                <w:rFonts w:ascii="Gill Sans MT" w:eastAsia="Times New Roman" w:hAnsi="Gill Sans MT" w:cs="Times New Roman"/>
                <w:color w:val="000000"/>
                <w:sz w:val="24"/>
                <w:szCs w:val="24"/>
                <w:lang w:eastAsia="en-GB"/>
              </w:rPr>
              <w:t>in place</w:t>
            </w:r>
          </w:p>
        </w:tc>
        <w:tc>
          <w:tcPr>
            <w:tcW w:w="0" w:type="auto"/>
            <w:tcBorders>
              <w:top w:val="nil"/>
              <w:left w:val="nil"/>
              <w:bottom w:val="nil"/>
              <w:right w:val="nil"/>
            </w:tcBorders>
            <w:shd w:val="clear" w:color="auto" w:fill="auto"/>
            <w:noWrap/>
            <w:vAlign w:val="center"/>
            <w:hideMark/>
          </w:tcPr>
          <w:p w:rsidR="00FA538E" w:rsidRPr="00FA6713" w:rsidRDefault="00FA538E" w:rsidP="00B05451">
            <w:pPr>
              <w:spacing w:after="0" w:line="240" w:lineRule="auto"/>
              <w:jc w:val="right"/>
              <w:rPr>
                <w:rFonts w:ascii="Gill Sans MT" w:eastAsia="Times New Roman" w:hAnsi="Gill Sans MT" w:cs="Times New Roman"/>
                <w:color w:val="000000"/>
                <w:sz w:val="24"/>
                <w:szCs w:val="24"/>
                <w:lang w:eastAsia="en-GB"/>
              </w:rPr>
            </w:pPr>
            <w:r>
              <w:rPr>
                <w:rFonts w:ascii="Gill Sans MT" w:eastAsia="Times New Roman" w:hAnsi="Gill Sans MT" w:cs="Times New Roman"/>
                <w:color w:val="000000"/>
                <w:sz w:val="24"/>
                <w:szCs w:val="24"/>
                <w:lang w:eastAsia="en-GB"/>
              </w:rPr>
              <w:t>39</w:t>
            </w:r>
            <w:r w:rsidRPr="00FA6713">
              <w:rPr>
                <w:rFonts w:ascii="Gill Sans MT" w:eastAsia="Times New Roman" w:hAnsi="Gill Sans MT" w:cs="Times New Roman"/>
                <w:color w:val="000000"/>
                <w:sz w:val="24"/>
                <w:szCs w:val="24"/>
                <w:lang w:eastAsia="en-GB"/>
              </w:rPr>
              <w:t>8</w:t>
            </w:r>
          </w:p>
        </w:tc>
        <w:tc>
          <w:tcPr>
            <w:tcW w:w="0" w:type="auto"/>
            <w:tcBorders>
              <w:top w:val="nil"/>
              <w:left w:val="nil"/>
              <w:bottom w:val="nil"/>
              <w:right w:val="nil"/>
            </w:tcBorders>
            <w:shd w:val="clear" w:color="auto" w:fill="auto"/>
            <w:noWrap/>
            <w:vAlign w:val="center"/>
            <w:hideMark/>
          </w:tcPr>
          <w:p w:rsidR="00FA538E" w:rsidRPr="00FA6713" w:rsidRDefault="00FA538E" w:rsidP="00B05451">
            <w:pPr>
              <w:spacing w:after="0" w:line="240" w:lineRule="auto"/>
              <w:jc w:val="right"/>
              <w:rPr>
                <w:rFonts w:ascii="Gill Sans MT" w:eastAsia="Times New Roman" w:hAnsi="Gill Sans MT" w:cs="Times New Roman"/>
                <w:color w:val="000000"/>
                <w:sz w:val="24"/>
                <w:szCs w:val="24"/>
                <w:lang w:eastAsia="en-GB"/>
              </w:rPr>
            </w:pPr>
            <w:r>
              <w:rPr>
                <w:rFonts w:ascii="Gill Sans MT" w:eastAsia="Times New Roman" w:hAnsi="Gill Sans MT" w:cs="Times New Roman"/>
                <w:color w:val="000000"/>
                <w:sz w:val="24"/>
                <w:szCs w:val="24"/>
                <w:lang w:eastAsia="en-GB"/>
              </w:rPr>
              <w:t>100</w:t>
            </w:r>
            <w:r w:rsidRPr="00FA6713">
              <w:rPr>
                <w:rFonts w:ascii="Gill Sans MT" w:eastAsia="Times New Roman" w:hAnsi="Gill Sans MT" w:cs="Times New Roman"/>
                <w:color w:val="000000"/>
                <w:sz w:val="24"/>
                <w:szCs w:val="24"/>
                <w:lang w:eastAsia="en-GB"/>
              </w:rPr>
              <w:t>%</w:t>
            </w:r>
          </w:p>
        </w:tc>
      </w:tr>
      <w:tr w:rsidR="00FA538E" w:rsidRPr="00FA6713" w:rsidTr="00B05451">
        <w:trPr>
          <w:trHeight w:val="234"/>
          <w:jc w:val="center"/>
        </w:trPr>
        <w:tc>
          <w:tcPr>
            <w:tcW w:w="0" w:type="auto"/>
            <w:tcBorders>
              <w:top w:val="nil"/>
              <w:left w:val="nil"/>
              <w:bottom w:val="nil"/>
              <w:right w:val="nil"/>
            </w:tcBorders>
            <w:shd w:val="clear" w:color="auto" w:fill="auto"/>
            <w:noWrap/>
            <w:vAlign w:val="center"/>
            <w:hideMark/>
          </w:tcPr>
          <w:p w:rsidR="00FA538E" w:rsidRPr="00FA6713" w:rsidRDefault="00FA538E" w:rsidP="00B05451">
            <w:pPr>
              <w:spacing w:after="0" w:line="240" w:lineRule="auto"/>
              <w:ind w:left="616" w:hanging="283"/>
              <w:rPr>
                <w:rFonts w:ascii="Gill Sans MT" w:eastAsia="Times New Roman" w:hAnsi="Gill Sans MT" w:cs="Times New Roman"/>
                <w:color w:val="000000"/>
                <w:sz w:val="24"/>
                <w:szCs w:val="24"/>
                <w:lang w:eastAsia="en-GB"/>
              </w:rPr>
            </w:pPr>
            <w:r w:rsidRPr="00FA6713">
              <w:rPr>
                <w:rFonts w:ascii="Gill Sans MT" w:eastAsia="Times New Roman" w:hAnsi="Gill Sans MT" w:cs="Times New Roman"/>
                <w:color w:val="000000"/>
                <w:sz w:val="24"/>
                <w:szCs w:val="24"/>
                <w:lang w:eastAsia="en-GB"/>
              </w:rPr>
              <w:t>without ISDS</w:t>
            </w:r>
          </w:p>
        </w:tc>
        <w:tc>
          <w:tcPr>
            <w:tcW w:w="0" w:type="auto"/>
            <w:tcBorders>
              <w:top w:val="nil"/>
              <w:left w:val="nil"/>
              <w:bottom w:val="nil"/>
              <w:right w:val="nil"/>
            </w:tcBorders>
            <w:shd w:val="clear" w:color="auto" w:fill="auto"/>
            <w:noWrap/>
            <w:vAlign w:val="center"/>
            <w:hideMark/>
          </w:tcPr>
          <w:p w:rsidR="00FA538E" w:rsidRPr="00FA6713" w:rsidRDefault="00FA538E" w:rsidP="00B05451">
            <w:pPr>
              <w:spacing w:after="0" w:line="240" w:lineRule="auto"/>
              <w:jc w:val="right"/>
              <w:rPr>
                <w:rFonts w:ascii="Gill Sans MT" w:eastAsia="Times New Roman" w:hAnsi="Gill Sans MT" w:cs="Times New Roman"/>
                <w:color w:val="000000"/>
                <w:sz w:val="24"/>
                <w:szCs w:val="24"/>
                <w:lang w:eastAsia="en-GB"/>
              </w:rPr>
            </w:pPr>
            <w:r w:rsidRPr="00FA6713">
              <w:rPr>
                <w:rFonts w:ascii="Gill Sans MT" w:eastAsia="Times New Roman" w:hAnsi="Gill Sans MT" w:cs="Times New Roman"/>
                <w:color w:val="000000"/>
                <w:sz w:val="24"/>
                <w:szCs w:val="24"/>
                <w:lang w:eastAsia="en-GB"/>
              </w:rPr>
              <w:t>8</w:t>
            </w:r>
          </w:p>
        </w:tc>
        <w:tc>
          <w:tcPr>
            <w:tcW w:w="0" w:type="auto"/>
            <w:tcBorders>
              <w:top w:val="nil"/>
              <w:left w:val="nil"/>
              <w:bottom w:val="nil"/>
              <w:right w:val="nil"/>
            </w:tcBorders>
            <w:shd w:val="clear" w:color="auto" w:fill="auto"/>
            <w:noWrap/>
            <w:vAlign w:val="center"/>
            <w:hideMark/>
          </w:tcPr>
          <w:p w:rsidR="00FA538E" w:rsidRPr="00FA6713" w:rsidRDefault="00FA538E" w:rsidP="00B05451">
            <w:pPr>
              <w:spacing w:after="0" w:line="240" w:lineRule="auto"/>
              <w:jc w:val="right"/>
              <w:rPr>
                <w:rFonts w:ascii="Gill Sans MT" w:eastAsia="Times New Roman" w:hAnsi="Gill Sans MT" w:cs="Times New Roman"/>
                <w:color w:val="000000"/>
                <w:sz w:val="24"/>
                <w:szCs w:val="24"/>
                <w:lang w:eastAsia="en-GB"/>
              </w:rPr>
            </w:pPr>
            <w:r>
              <w:rPr>
                <w:rFonts w:ascii="Gill Sans MT" w:eastAsia="Times New Roman" w:hAnsi="Gill Sans MT" w:cs="Times New Roman"/>
                <w:color w:val="000000"/>
                <w:sz w:val="24"/>
                <w:szCs w:val="24"/>
                <w:lang w:eastAsia="en-GB"/>
              </w:rPr>
              <w:t>2</w:t>
            </w:r>
            <w:r w:rsidRPr="00FA6713">
              <w:rPr>
                <w:rFonts w:ascii="Gill Sans MT" w:eastAsia="Times New Roman" w:hAnsi="Gill Sans MT" w:cs="Times New Roman"/>
                <w:color w:val="000000"/>
                <w:sz w:val="24"/>
                <w:szCs w:val="24"/>
                <w:lang w:eastAsia="en-GB"/>
              </w:rPr>
              <w:t>%</w:t>
            </w:r>
          </w:p>
        </w:tc>
      </w:tr>
      <w:tr w:rsidR="00FA538E" w:rsidRPr="00FA6713" w:rsidTr="00B05451">
        <w:trPr>
          <w:trHeight w:val="234"/>
          <w:jc w:val="center"/>
        </w:trPr>
        <w:tc>
          <w:tcPr>
            <w:tcW w:w="0" w:type="auto"/>
            <w:tcBorders>
              <w:top w:val="nil"/>
              <w:left w:val="nil"/>
              <w:bottom w:val="nil"/>
              <w:right w:val="nil"/>
            </w:tcBorders>
            <w:shd w:val="clear" w:color="auto" w:fill="auto"/>
            <w:noWrap/>
            <w:vAlign w:val="center"/>
            <w:hideMark/>
          </w:tcPr>
          <w:p w:rsidR="00FA538E" w:rsidRPr="00FA6713" w:rsidRDefault="00FA538E" w:rsidP="00B05451">
            <w:pPr>
              <w:spacing w:after="0" w:line="240" w:lineRule="auto"/>
              <w:ind w:left="616" w:hanging="283"/>
              <w:rPr>
                <w:rFonts w:ascii="Gill Sans MT" w:eastAsia="Times New Roman" w:hAnsi="Gill Sans MT" w:cs="Times New Roman"/>
                <w:color w:val="000000"/>
                <w:sz w:val="24"/>
                <w:szCs w:val="24"/>
                <w:lang w:eastAsia="en-GB"/>
              </w:rPr>
            </w:pPr>
            <w:r w:rsidRPr="00FA6713">
              <w:rPr>
                <w:rFonts w:ascii="Gill Sans MT" w:eastAsia="Times New Roman" w:hAnsi="Gill Sans MT" w:cs="Times New Roman"/>
                <w:color w:val="000000"/>
                <w:sz w:val="24"/>
                <w:szCs w:val="24"/>
                <w:lang w:eastAsia="en-GB"/>
              </w:rPr>
              <w:t>without pre-consent to ISDS</w:t>
            </w:r>
          </w:p>
        </w:tc>
        <w:tc>
          <w:tcPr>
            <w:tcW w:w="0" w:type="auto"/>
            <w:tcBorders>
              <w:top w:val="nil"/>
              <w:left w:val="nil"/>
              <w:bottom w:val="nil"/>
              <w:right w:val="nil"/>
            </w:tcBorders>
            <w:shd w:val="clear" w:color="auto" w:fill="auto"/>
            <w:noWrap/>
            <w:vAlign w:val="center"/>
            <w:hideMark/>
          </w:tcPr>
          <w:p w:rsidR="00FA538E" w:rsidRPr="00FA6713" w:rsidRDefault="00FA538E" w:rsidP="00B05451">
            <w:pPr>
              <w:spacing w:after="0" w:line="240" w:lineRule="auto"/>
              <w:jc w:val="right"/>
              <w:rPr>
                <w:rFonts w:ascii="Gill Sans MT" w:eastAsia="Times New Roman" w:hAnsi="Gill Sans MT" w:cs="Times New Roman"/>
                <w:color w:val="000000"/>
                <w:sz w:val="24"/>
                <w:szCs w:val="24"/>
                <w:lang w:eastAsia="en-GB"/>
              </w:rPr>
            </w:pPr>
            <w:r>
              <w:rPr>
                <w:rFonts w:ascii="Gill Sans MT" w:eastAsia="Times New Roman" w:hAnsi="Gill Sans MT" w:cs="Times New Roman"/>
                <w:color w:val="000000"/>
                <w:sz w:val="24"/>
                <w:szCs w:val="24"/>
                <w:lang w:eastAsia="en-GB"/>
              </w:rPr>
              <w:t>24</w:t>
            </w:r>
          </w:p>
        </w:tc>
        <w:tc>
          <w:tcPr>
            <w:tcW w:w="0" w:type="auto"/>
            <w:tcBorders>
              <w:top w:val="nil"/>
              <w:left w:val="nil"/>
              <w:bottom w:val="nil"/>
              <w:right w:val="nil"/>
            </w:tcBorders>
            <w:shd w:val="clear" w:color="auto" w:fill="auto"/>
            <w:noWrap/>
            <w:vAlign w:val="center"/>
            <w:hideMark/>
          </w:tcPr>
          <w:p w:rsidR="00FA538E" w:rsidRPr="00FA6713" w:rsidRDefault="00FA538E" w:rsidP="00B05451">
            <w:pPr>
              <w:spacing w:after="0" w:line="240" w:lineRule="auto"/>
              <w:jc w:val="right"/>
              <w:rPr>
                <w:rFonts w:ascii="Gill Sans MT" w:eastAsia="Times New Roman" w:hAnsi="Gill Sans MT" w:cs="Times New Roman"/>
                <w:color w:val="000000"/>
                <w:sz w:val="24"/>
                <w:szCs w:val="24"/>
                <w:lang w:eastAsia="en-GB"/>
              </w:rPr>
            </w:pPr>
            <w:r>
              <w:rPr>
                <w:rFonts w:ascii="Gill Sans MT" w:eastAsia="Times New Roman" w:hAnsi="Gill Sans MT" w:cs="Times New Roman"/>
                <w:color w:val="000000"/>
                <w:sz w:val="24"/>
                <w:szCs w:val="24"/>
                <w:lang w:eastAsia="en-GB"/>
              </w:rPr>
              <w:t>6</w:t>
            </w:r>
            <w:r w:rsidRPr="00FA6713">
              <w:rPr>
                <w:rFonts w:ascii="Gill Sans MT" w:eastAsia="Times New Roman" w:hAnsi="Gill Sans MT" w:cs="Times New Roman"/>
                <w:color w:val="000000"/>
                <w:sz w:val="24"/>
                <w:szCs w:val="24"/>
                <w:lang w:eastAsia="en-GB"/>
              </w:rPr>
              <w:t>%</w:t>
            </w:r>
          </w:p>
        </w:tc>
      </w:tr>
      <w:tr w:rsidR="00FA538E" w:rsidRPr="00FA6713" w:rsidTr="00B05451">
        <w:trPr>
          <w:trHeight w:val="234"/>
          <w:jc w:val="center"/>
        </w:trPr>
        <w:tc>
          <w:tcPr>
            <w:tcW w:w="0" w:type="auto"/>
            <w:tcBorders>
              <w:top w:val="nil"/>
              <w:left w:val="nil"/>
              <w:bottom w:val="nil"/>
              <w:right w:val="nil"/>
            </w:tcBorders>
            <w:shd w:val="clear" w:color="auto" w:fill="auto"/>
            <w:noWrap/>
            <w:vAlign w:val="center"/>
            <w:hideMark/>
          </w:tcPr>
          <w:p w:rsidR="00FA538E" w:rsidRPr="00FA6713" w:rsidRDefault="00FA538E" w:rsidP="00B05451">
            <w:pPr>
              <w:spacing w:after="0" w:line="240" w:lineRule="auto"/>
              <w:ind w:left="616" w:hanging="283"/>
              <w:rPr>
                <w:rFonts w:ascii="Gill Sans MT" w:eastAsia="Times New Roman" w:hAnsi="Gill Sans MT" w:cs="Times New Roman"/>
                <w:color w:val="000000"/>
                <w:sz w:val="24"/>
                <w:szCs w:val="24"/>
                <w:lang w:eastAsia="en-GB"/>
              </w:rPr>
            </w:pPr>
            <w:r w:rsidRPr="00FA6713">
              <w:rPr>
                <w:rFonts w:ascii="Gill Sans MT" w:eastAsia="Times New Roman" w:hAnsi="Gill Sans MT" w:cs="Times New Roman"/>
                <w:color w:val="000000"/>
                <w:sz w:val="24"/>
                <w:szCs w:val="24"/>
                <w:lang w:eastAsia="en-GB"/>
              </w:rPr>
              <w:t>with pre-consent alone</w:t>
            </w:r>
          </w:p>
        </w:tc>
        <w:tc>
          <w:tcPr>
            <w:tcW w:w="0" w:type="auto"/>
            <w:tcBorders>
              <w:top w:val="nil"/>
              <w:left w:val="nil"/>
              <w:bottom w:val="nil"/>
              <w:right w:val="nil"/>
            </w:tcBorders>
            <w:shd w:val="clear" w:color="auto" w:fill="auto"/>
            <w:noWrap/>
            <w:vAlign w:val="center"/>
            <w:hideMark/>
          </w:tcPr>
          <w:p w:rsidR="00FA538E" w:rsidRPr="00FA6713" w:rsidRDefault="00FA538E" w:rsidP="00B05451">
            <w:pPr>
              <w:spacing w:after="0" w:line="240" w:lineRule="auto"/>
              <w:jc w:val="right"/>
              <w:rPr>
                <w:rFonts w:ascii="Gill Sans MT" w:eastAsia="Times New Roman" w:hAnsi="Gill Sans MT" w:cs="Times New Roman"/>
                <w:color w:val="000000"/>
                <w:sz w:val="24"/>
                <w:szCs w:val="24"/>
                <w:lang w:eastAsia="en-GB"/>
              </w:rPr>
            </w:pPr>
            <w:r>
              <w:rPr>
                <w:rFonts w:ascii="Gill Sans MT" w:eastAsia="Times New Roman" w:hAnsi="Gill Sans MT" w:cs="Times New Roman"/>
                <w:color w:val="000000"/>
                <w:sz w:val="24"/>
                <w:szCs w:val="24"/>
                <w:lang w:eastAsia="en-GB"/>
              </w:rPr>
              <w:t>112</w:t>
            </w:r>
          </w:p>
        </w:tc>
        <w:tc>
          <w:tcPr>
            <w:tcW w:w="0" w:type="auto"/>
            <w:tcBorders>
              <w:top w:val="nil"/>
              <w:left w:val="nil"/>
              <w:bottom w:val="nil"/>
              <w:right w:val="nil"/>
            </w:tcBorders>
            <w:shd w:val="clear" w:color="auto" w:fill="auto"/>
            <w:noWrap/>
            <w:vAlign w:val="center"/>
            <w:hideMark/>
          </w:tcPr>
          <w:p w:rsidR="00FA538E" w:rsidRPr="00FA6713" w:rsidRDefault="00FA538E" w:rsidP="00B05451">
            <w:pPr>
              <w:spacing w:after="0" w:line="240" w:lineRule="auto"/>
              <w:jc w:val="right"/>
              <w:rPr>
                <w:rFonts w:ascii="Gill Sans MT" w:eastAsia="Times New Roman" w:hAnsi="Gill Sans MT" w:cs="Times New Roman"/>
                <w:color w:val="000000"/>
                <w:sz w:val="24"/>
                <w:szCs w:val="24"/>
                <w:lang w:eastAsia="en-GB"/>
              </w:rPr>
            </w:pPr>
            <w:r>
              <w:rPr>
                <w:rFonts w:ascii="Gill Sans MT" w:eastAsia="Times New Roman" w:hAnsi="Gill Sans MT" w:cs="Times New Roman"/>
                <w:color w:val="000000"/>
                <w:sz w:val="24"/>
                <w:szCs w:val="24"/>
                <w:lang w:eastAsia="en-GB"/>
              </w:rPr>
              <w:t>28</w:t>
            </w:r>
            <w:r w:rsidRPr="00FA6713">
              <w:rPr>
                <w:rFonts w:ascii="Gill Sans MT" w:eastAsia="Times New Roman" w:hAnsi="Gill Sans MT" w:cs="Times New Roman"/>
                <w:color w:val="000000"/>
                <w:sz w:val="24"/>
                <w:szCs w:val="24"/>
                <w:lang w:eastAsia="en-GB"/>
              </w:rPr>
              <w:t>%</w:t>
            </w:r>
          </w:p>
        </w:tc>
      </w:tr>
      <w:tr w:rsidR="00FA538E" w:rsidRPr="00FA6713" w:rsidTr="00B05451">
        <w:trPr>
          <w:trHeight w:val="234"/>
          <w:jc w:val="center"/>
        </w:trPr>
        <w:tc>
          <w:tcPr>
            <w:tcW w:w="0" w:type="auto"/>
            <w:tcBorders>
              <w:top w:val="nil"/>
              <w:left w:val="nil"/>
              <w:bottom w:val="nil"/>
              <w:right w:val="nil"/>
            </w:tcBorders>
            <w:shd w:val="clear" w:color="auto" w:fill="auto"/>
            <w:noWrap/>
            <w:vAlign w:val="center"/>
            <w:hideMark/>
          </w:tcPr>
          <w:p w:rsidR="00FA538E" w:rsidRPr="00FA6713" w:rsidRDefault="00FA538E" w:rsidP="00B05451">
            <w:pPr>
              <w:spacing w:after="0" w:line="240" w:lineRule="auto"/>
              <w:ind w:left="616" w:hanging="283"/>
              <w:rPr>
                <w:rFonts w:ascii="Gill Sans MT" w:eastAsia="Times New Roman" w:hAnsi="Gill Sans MT" w:cs="Times New Roman"/>
                <w:color w:val="000000"/>
                <w:sz w:val="24"/>
                <w:szCs w:val="24"/>
                <w:lang w:eastAsia="en-GB"/>
              </w:rPr>
            </w:pPr>
            <w:r w:rsidRPr="00FA6713">
              <w:rPr>
                <w:rFonts w:ascii="Gill Sans MT" w:eastAsia="Times New Roman" w:hAnsi="Gill Sans MT" w:cs="Times New Roman"/>
                <w:color w:val="000000"/>
                <w:sz w:val="24"/>
                <w:szCs w:val="24"/>
                <w:lang w:eastAsia="en-GB"/>
              </w:rPr>
              <w:t>with unrestricted coverage of claims</w:t>
            </w:r>
          </w:p>
        </w:tc>
        <w:tc>
          <w:tcPr>
            <w:tcW w:w="0" w:type="auto"/>
            <w:tcBorders>
              <w:top w:val="nil"/>
              <w:left w:val="nil"/>
              <w:bottom w:val="nil"/>
              <w:right w:val="nil"/>
            </w:tcBorders>
            <w:shd w:val="clear" w:color="auto" w:fill="auto"/>
            <w:noWrap/>
            <w:vAlign w:val="center"/>
            <w:hideMark/>
          </w:tcPr>
          <w:p w:rsidR="00FA538E" w:rsidRPr="00FA6713" w:rsidRDefault="00FA538E" w:rsidP="00B05451">
            <w:pPr>
              <w:spacing w:after="0" w:line="240" w:lineRule="auto"/>
              <w:jc w:val="right"/>
              <w:rPr>
                <w:rFonts w:ascii="Gill Sans MT" w:eastAsia="Times New Roman" w:hAnsi="Gill Sans MT" w:cs="Times New Roman"/>
                <w:color w:val="000000"/>
                <w:sz w:val="24"/>
                <w:szCs w:val="24"/>
                <w:lang w:eastAsia="en-GB"/>
              </w:rPr>
            </w:pPr>
            <w:r>
              <w:rPr>
                <w:rFonts w:ascii="Gill Sans MT" w:eastAsia="Times New Roman" w:hAnsi="Gill Sans MT" w:cs="Times New Roman"/>
                <w:color w:val="000000"/>
                <w:sz w:val="24"/>
                <w:szCs w:val="24"/>
                <w:lang w:eastAsia="en-GB"/>
              </w:rPr>
              <w:t>184</w:t>
            </w:r>
          </w:p>
        </w:tc>
        <w:tc>
          <w:tcPr>
            <w:tcW w:w="0" w:type="auto"/>
            <w:tcBorders>
              <w:top w:val="nil"/>
              <w:left w:val="nil"/>
              <w:bottom w:val="nil"/>
              <w:right w:val="nil"/>
            </w:tcBorders>
            <w:shd w:val="clear" w:color="auto" w:fill="auto"/>
            <w:noWrap/>
            <w:vAlign w:val="center"/>
            <w:hideMark/>
          </w:tcPr>
          <w:p w:rsidR="00FA538E" w:rsidRPr="00FA6713" w:rsidRDefault="00FA538E" w:rsidP="00B05451">
            <w:pPr>
              <w:spacing w:after="0" w:line="240" w:lineRule="auto"/>
              <w:jc w:val="right"/>
              <w:rPr>
                <w:rFonts w:ascii="Gill Sans MT" w:eastAsia="Times New Roman" w:hAnsi="Gill Sans MT" w:cs="Times New Roman"/>
                <w:color w:val="000000"/>
                <w:sz w:val="24"/>
                <w:szCs w:val="24"/>
                <w:lang w:eastAsia="en-GB"/>
              </w:rPr>
            </w:pPr>
            <w:r>
              <w:rPr>
                <w:rFonts w:ascii="Gill Sans MT" w:eastAsia="Times New Roman" w:hAnsi="Gill Sans MT" w:cs="Times New Roman"/>
                <w:color w:val="000000"/>
                <w:sz w:val="24"/>
                <w:szCs w:val="24"/>
                <w:lang w:eastAsia="en-GB"/>
              </w:rPr>
              <w:t>46</w:t>
            </w:r>
            <w:r w:rsidRPr="00FA6713">
              <w:rPr>
                <w:rFonts w:ascii="Gill Sans MT" w:eastAsia="Times New Roman" w:hAnsi="Gill Sans MT" w:cs="Times New Roman"/>
                <w:color w:val="000000"/>
                <w:sz w:val="24"/>
                <w:szCs w:val="24"/>
                <w:lang w:eastAsia="en-GB"/>
              </w:rPr>
              <w:t>%</w:t>
            </w:r>
          </w:p>
        </w:tc>
      </w:tr>
      <w:tr w:rsidR="00FA538E" w:rsidRPr="00FA6713" w:rsidTr="00B05451">
        <w:trPr>
          <w:trHeight w:val="234"/>
          <w:jc w:val="center"/>
        </w:trPr>
        <w:tc>
          <w:tcPr>
            <w:tcW w:w="0" w:type="auto"/>
            <w:tcBorders>
              <w:top w:val="nil"/>
              <w:left w:val="nil"/>
              <w:bottom w:val="nil"/>
              <w:right w:val="nil"/>
            </w:tcBorders>
            <w:shd w:val="clear" w:color="auto" w:fill="auto"/>
            <w:noWrap/>
            <w:vAlign w:val="center"/>
            <w:hideMark/>
          </w:tcPr>
          <w:p w:rsidR="00FA538E" w:rsidRPr="00FA6713" w:rsidRDefault="00FA538E" w:rsidP="00B05451">
            <w:pPr>
              <w:spacing w:after="0" w:line="240" w:lineRule="auto"/>
              <w:ind w:left="616" w:hanging="283"/>
              <w:rPr>
                <w:rFonts w:ascii="Gill Sans MT" w:eastAsia="Times New Roman" w:hAnsi="Gill Sans MT" w:cs="Times New Roman"/>
                <w:color w:val="000000"/>
                <w:sz w:val="24"/>
                <w:szCs w:val="24"/>
                <w:lang w:eastAsia="en-GB"/>
              </w:rPr>
            </w:pPr>
            <w:r w:rsidRPr="00FA6713">
              <w:rPr>
                <w:rFonts w:ascii="Gill Sans MT" w:eastAsia="Times New Roman" w:hAnsi="Gill Sans MT" w:cs="Times New Roman"/>
                <w:color w:val="000000"/>
                <w:sz w:val="24"/>
                <w:szCs w:val="24"/>
                <w:lang w:eastAsia="en-GB"/>
              </w:rPr>
              <w:t>with binding interpretation</w:t>
            </w:r>
          </w:p>
        </w:tc>
        <w:tc>
          <w:tcPr>
            <w:tcW w:w="0" w:type="auto"/>
            <w:tcBorders>
              <w:top w:val="nil"/>
              <w:left w:val="nil"/>
              <w:bottom w:val="nil"/>
              <w:right w:val="nil"/>
            </w:tcBorders>
            <w:shd w:val="clear" w:color="auto" w:fill="auto"/>
            <w:noWrap/>
            <w:vAlign w:val="center"/>
            <w:hideMark/>
          </w:tcPr>
          <w:p w:rsidR="00FA538E" w:rsidRPr="00FA6713" w:rsidRDefault="00FA538E" w:rsidP="00B05451">
            <w:pPr>
              <w:spacing w:after="0" w:line="240" w:lineRule="auto"/>
              <w:jc w:val="right"/>
              <w:rPr>
                <w:rFonts w:ascii="Gill Sans MT" w:eastAsia="Times New Roman" w:hAnsi="Gill Sans MT" w:cs="Times New Roman"/>
                <w:color w:val="000000"/>
                <w:sz w:val="24"/>
                <w:szCs w:val="24"/>
                <w:lang w:eastAsia="en-GB"/>
              </w:rPr>
            </w:pPr>
            <w:r w:rsidRPr="00FA6713">
              <w:rPr>
                <w:rFonts w:ascii="Gill Sans MT" w:eastAsia="Times New Roman" w:hAnsi="Gill Sans MT" w:cs="Times New Roman"/>
                <w:color w:val="000000"/>
                <w:sz w:val="24"/>
                <w:szCs w:val="24"/>
                <w:lang w:eastAsia="en-GB"/>
              </w:rPr>
              <w:t>18</w:t>
            </w:r>
          </w:p>
        </w:tc>
        <w:tc>
          <w:tcPr>
            <w:tcW w:w="0" w:type="auto"/>
            <w:tcBorders>
              <w:top w:val="nil"/>
              <w:left w:val="nil"/>
              <w:bottom w:val="nil"/>
              <w:right w:val="nil"/>
            </w:tcBorders>
            <w:shd w:val="clear" w:color="auto" w:fill="auto"/>
            <w:noWrap/>
            <w:vAlign w:val="center"/>
            <w:hideMark/>
          </w:tcPr>
          <w:p w:rsidR="00FA538E" w:rsidRPr="00FA6713" w:rsidRDefault="00FA538E" w:rsidP="00B05451">
            <w:pPr>
              <w:spacing w:after="0" w:line="240" w:lineRule="auto"/>
              <w:jc w:val="right"/>
              <w:rPr>
                <w:rFonts w:ascii="Gill Sans MT" w:eastAsia="Times New Roman" w:hAnsi="Gill Sans MT" w:cs="Times New Roman"/>
                <w:color w:val="000000"/>
                <w:sz w:val="24"/>
                <w:szCs w:val="24"/>
                <w:lang w:eastAsia="en-GB"/>
              </w:rPr>
            </w:pPr>
            <w:r>
              <w:rPr>
                <w:rFonts w:ascii="Gill Sans MT" w:eastAsia="Times New Roman" w:hAnsi="Gill Sans MT" w:cs="Times New Roman"/>
                <w:color w:val="000000"/>
                <w:sz w:val="24"/>
                <w:szCs w:val="24"/>
                <w:lang w:eastAsia="en-GB"/>
              </w:rPr>
              <w:t>5</w:t>
            </w:r>
            <w:r w:rsidRPr="00FA6713">
              <w:rPr>
                <w:rFonts w:ascii="Gill Sans MT" w:eastAsia="Times New Roman" w:hAnsi="Gill Sans MT" w:cs="Times New Roman"/>
                <w:color w:val="000000"/>
                <w:sz w:val="24"/>
                <w:szCs w:val="24"/>
                <w:lang w:eastAsia="en-GB"/>
              </w:rPr>
              <w:t>%</w:t>
            </w:r>
          </w:p>
        </w:tc>
      </w:tr>
      <w:tr w:rsidR="00FA538E" w:rsidRPr="00FA6713" w:rsidTr="00B05451">
        <w:trPr>
          <w:trHeight w:val="307"/>
          <w:jc w:val="center"/>
        </w:trPr>
        <w:tc>
          <w:tcPr>
            <w:tcW w:w="0" w:type="auto"/>
            <w:vMerge w:val="restart"/>
            <w:tcBorders>
              <w:top w:val="nil"/>
              <w:left w:val="nil"/>
              <w:bottom w:val="nil"/>
              <w:right w:val="nil"/>
            </w:tcBorders>
            <w:shd w:val="clear" w:color="auto" w:fill="auto"/>
            <w:vAlign w:val="center"/>
            <w:hideMark/>
          </w:tcPr>
          <w:p w:rsidR="00FA538E" w:rsidRPr="00FA6713" w:rsidRDefault="00FA538E" w:rsidP="00B05451">
            <w:pPr>
              <w:spacing w:after="0" w:line="240" w:lineRule="auto"/>
              <w:ind w:left="616" w:hanging="283"/>
              <w:rPr>
                <w:rFonts w:ascii="Gill Sans MT" w:eastAsia="Times New Roman" w:hAnsi="Gill Sans MT" w:cs="Times New Roman"/>
                <w:color w:val="000000"/>
                <w:sz w:val="24"/>
                <w:szCs w:val="24"/>
                <w:lang w:eastAsia="en-GB"/>
              </w:rPr>
            </w:pPr>
            <w:r w:rsidRPr="00FA6713">
              <w:rPr>
                <w:rFonts w:ascii="Gill Sans MT" w:eastAsia="Times New Roman" w:hAnsi="Gill Sans MT" w:cs="Times New Roman"/>
                <w:color w:val="000000"/>
                <w:sz w:val="24"/>
                <w:szCs w:val="24"/>
                <w:lang w:eastAsia="en-GB"/>
              </w:rPr>
              <w:t>with binding interpretation and unrestricted coverage of claims</w:t>
            </w:r>
          </w:p>
        </w:tc>
        <w:tc>
          <w:tcPr>
            <w:tcW w:w="0" w:type="auto"/>
            <w:vMerge w:val="restart"/>
            <w:tcBorders>
              <w:top w:val="nil"/>
              <w:left w:val="nil"/>
              <w:bottom w:val="nil"/>
              <w:right w:val="nil"/>
            </w:tcBorders>
            <w:shd w:val="clear" w:color="auto" w:fill="auto"/>
            <w:noWrap/>
            <w:vAlign w:val="center"/>
            <w:hideMark/>
          </w:tcPr>
          <w:p w:rsidR="00FA538E" w:rsidRPr="00FA6713" w:rsidRDefault="00FA538E" w:rsidP="00B05451">
            <w:pPr>
              <w:spacing w:after="0" w:line="240" w:lineRule="auto"/>
              <w:jc w:val="right"/>
              <w:rPr>
                <w:rFonts w:ascii="Gill Sans MT" w:eastAsia="Times New Roman" w:hAnsi="Gill Sans MT" w:cs="Times New Roman"/>
                <w:color w:val="000000"/>
                <w:sz w:val="24"/>
                <w:szCs w:val="24"/>
                <w:lang w:eastAsia="en-GB"/>
              </w:rPr>
            </w:pPr>
            <w:r>
              <w:rPr>
                <w:rFonts w:ascii="Gill Sans MT" w:eastAsia="Times New Roman" w:hAnsi="Gill Sans MT" w:cs="Times New Roman"/>
                <w:color w:val="000000"/>
                <w:sz w:val="24"/>
                <w:szCs w:val="24"/>
                <w:lang w:eastAsia="en-GB"/>
              </w:rPr>
              <w:t>12</w:t>
            </w:r>
          </w:p>
        </w:tc>
        <w:tc>
          <w:tcPr>
            <w:tcW w:w="0" w:type="auto"/>
            <w:vMerge w:val="restart"/>
            <w:tcBorders>
              <w:top w:val="nil"/>
              <w:left w:val="nil"/>
              <w:bottom w:val="nil"/>
              <w:right w:val="nil"/>
            </w:tcBorders>
            <w:shd w:val="clear" w:color="auto" w:fill="auto"/>
            <w:noWrap/>
            <w:vAlign w:val="center"/>
            <w:hideMark/>
          </w:tcPr>
          <w:p w:rsidR="00FA538E" w:rsidRPr="00FA6713" w:rsidRDefault="00FA538E" w:rsidP="00B05451">
            <w:pPr>
              <w:spacing w:after="0" w:line="240" w:lineRule="auto"/>
              <w:jc w:val="right"/>
              <w:rPr>
                <w:rFonts w:ascii="Gill Sans MT" w:eastAsia="Times New Roman" w:hAnsi="Gill Sans MT" w:cs="Times New Roman"/>
                <w:color w:val="000000"/>
                <w:sz w:val="24"/>
                <w:szCs w:val="24"/>
                <w:lang w:eastAsia="en-GB"/>
              </w:rPr>
            </w:pPr>
            <w:r>
              <w:rPr>
                <w:rFonts w:ascii="Gill Sans MT" w:eastAsia="Times New Roman" w:hAnsi="Gill Sans MT" w:cs="Times New Roman"/>
                <w:color w:val="000000"/>
                <w:sz w:val="24"/>
                <w:szCs w:val="24"/>
                <w:lang w:eastAsia="en-GB"/>
              </w:rPr>
              <w:t>3</w:t>
            </w:r>
            <w:r w:rsidRPr="00FA6713">
              <w:rPr>
                <w:rFonts w:ascii="Gill Sans MT" w:eastAsia="Times New Roman" w:hAnsi="Gill Sans MT" w:cs="Times New Roman"/>
                <w:color w:val="000000"/>
                <w:sz w:val="24"/>
                <w:szCs w:val="24"/>
                <w:lang w:eastAsia="en-GB"/>
              </w:rPr>
              <w:t>%</w:t>
            </w:r>
          </w:p>
        </w:tc>
      </w:tr>
      <w:tr w:rsidR="00FA538E" w:rsidRPr="00FA6713" w:rsidTr="00B05451">
        <w:trPr>
          <w:trHeight w:val="307"/>
          <w:jc w:val="center"/>
        </w:trPr>
        <w:tc>
          <w:tcPr>
            <w:tcW w:w="0" w:type="auto"/>
            <w:vMerge/>
            <w:tcBorders>
              <w:top w:val="nil"/>
              <w:left w:val="nil"/>
              <w:bottom w:val="nil"/>
              <w:right w:val="nil"/>
            </w:tcBorders>
            <w:vAlign w:val="center"/>
            <w:hideMark/>
          </w:tcPr>
          <w:p w:rsidR="00FA538E" w:rsidRPr="00FA6713" w:rsidRDefault="00FA538E" w:rsidP="00B05451">
            <w:pPr>
              <w:spacing w:after="0" w:line="240" w:lineRule="auto"/>
              <w:ind w:left="616" w:hanging="283"/>
              <w:rPr>
                <w:rFonts w:ascii="Gill Sans MT" w:eastAsia="Times New Roman" w:hAnsi="Gill Sans MT" w:cs="Times New Roman"/>
                <w:color w:val="000000"/>
                <w:sz w:val="24"/>
                <w:szCs w:val="24"/>
                <w:lang w:eastAsia="en-GB"/>
              </w:rPr>
            </w:pPr>
          </w:p>
        </w:tc>
        <w:tc>
          <w:tcPr>
            <w:tcW w:w="0" w:type="auto"/>
            <w:vMerge/>
            <w:tcBorders>
              <w:top w:val="nil"/>
              <w:left w:val="nil"/>
              <w:bottom w:val="nil"/>
              <w:right w:val="nil"/>
            </w:tcBorders>
            <w:vAlign w:val="center"/>
            <w:hideMark/>
          </w:tcPr>
          <w:p w:rsidR="00FA538E" w:rsidRPr="00FA6713" w:rsidRDefault="00FA538E" w:rsidP="00B05451">
            <w:pPr>
              <w:spacing w:after="0" w:line="240" w:lineRule="auto"/>
              <w:rPr>
                <w:rFonts w:ascii="Gill Sans MT" w:eastAsia="Times New Roman" w:hAnsi="Gill Sans MT" w:cs="Times New Roman"/>
                <w:color w:val="000000"/>
                <w:sz w:val="24"/>
                <w:szCs w:val="24"/>
                <w:lang w:eastAsia="en-GB"/>
              </w:rPr>
            </w:pPr>
          </w:p>
        </w:tc>
        <w:tc>
          <w:tcPr>
            <w:tcW w:w="0" w:type="auto"/>
            <w:vMerge/>
            <w:tcBorders>
              <w:top w:val="nil"/>
              <w:left w:val="nil"/>
              <w:bottom w:val="nil"/>
              <w:right w:val="nil"/>
            </w:tcBorders>
            <w:vAlign w:val="center"/>
            <w:hideMark/>
          </w:tcPr>
          <w:p w:rsidR="00FA538E" w:rsidRPr="00FA6713" w:rsidRDefault="00FA538E" w:rsidP="00B05451">
            <w:pPr>
              <w:spacing w:after="0" w:line="240" w:lineRule="auto"/>
              <w:rPr>
                <w:rFonts w:ascii="Gill Sans MT" w:eastAsia="Times New Roman" w:hAnsi="Gill Sans MT" w:cs="Times New Roman"/>
                <w:color w:val="000000"/>
                <w:sz w:val="24"/>
                <w:szCs w:val="24"/>
                <w:lang w:eastAsia="en-GB"/>
              </w:rPr>
            </w:pPr>
          </w:p>
        </w:tc>
      </w:tr>
      <w:tr w:rsidR="00FA538E" w:rsidRPr="00FA6713" w:rsidTr="00B05451">
        <w:trPr>
          <w:trHeight w:val="234"/>
          <w:jc w:val="center"/>
        </w:trPr>
        <w:tc>
          <w:tcPr>
            <w:tcW w:w="0" w:type="auto"/>
            <w:tcBorders>
              <w:top w:val="nil"/>
              <w:left w:val="nil"/>
              <w:bottom w:val="single" w:sz="18" w:space="0" w:color="AA273E"/>
              <w:right w:val="nil"/>
            </w:tcBorders>
            <w:shd w:val="clear" w:color="auto" w:fill="auto"/>
            <w:noWrap/>
            <w:vAlign w:val="center"/>
            <w:hideMark/>
          </w:tcPr>
          <w:p w:rsidR="00FA538E" w:rsidRPr="00FA6713" w:rsidRDefault="00FA538E" w:rsidP="00B05451">
            <w:pPr>
              <w:spacing w:after="0" w:line="240" w:lineRule="auto"/>
              <w:ind w:left="616" w:hanging="283"/>
              <w:rPr>
                <w:rFonts w:ascii="Gill Sans MT" w:eastAsia="Times New Roman" w:hAnsi="Gill Sans MT" w:cs="Times New Roman"/>
                <w:color w:val="000000"/>
                <w:sz w:val="24"/>
                <w:szCs w:val="24"/>
                <w:lang w:eastAsia="en-GB"/>
              </w:rPr>
            </w:pPr>
            <w:r w:rsidRPr="00FA6713">
              <w:rPr>
                <w:rFonts w:ascii="Gill Sans MT" w:eastAsia="Times New Roman" w:hAnsi="Gill Sans MT" w:cs="Times New Roman"/>
                <w:color w:val="000000"/>
                <w:sz w:val="24"/>
                <w:szCs w:val="24"/>
                <w:lang w:eastAsia="en-GB"/>
              </w:rPr>
              <w:t>unmapped</w:t>
            </w:r>
          </w:p>
        </w:tc>
        <w:tc>
          <w:tcPr>
            <w:tcW w:w="0" w:type="auto"/>
            <w:tcBorders>
              <w:top w:val="nil"/>
              <w:left w:val="nil"/>
              <w:bottom w:val="single" w:sz="18" w:space="0" w:color="AA273E"/>
              <w:right w:val="nil"/>
            </w:tcBorders>
            <w:shd w:val="clear" w:color="auto" w:fill="auto"/>
            <w:noWrap/>
            <w:vAlign w:val="center"/>
            <w:hideMark/>
          </w:tcPr>
          <w:p w:rsidR="00FA538E" w:rsidRPr="00FA6713" w:rsidRDefault="00FA538E" w:rsidP="00B05451">
            <w:pPr>
              <w:spacing w:after="0" w:line="240" w:lineRule="auto"/>
              <w:jc w:val="right"/>
              <w:rPr>
                <w:rFonts w:ascii="Gill Sans MT" w:eastAsia="Times New Roman" w:hAnsi="Gill Sans MT" w:cs="Times New Roman"/>
                <w:color w:val="000000"/>
                <w:sz w:val="24"/>
                <w:szCs w:val="24"/>
                <w:lang w:eastAsia="en-GB"/>
              </w:rPr>
            </w:pPr>
            <w:r w:rsidRPr="00FA6713">
              <w:rPr>
                <w:rFonts w:ascii="Gill Sans MT" w:eastAsia="Times New Roman" w:hAnsi="Gill Sans MT" w:cs="Times New Roman"/>
                <w:color w:val="000000"/>
                <w:sz w:val="24"/>
                <w:szCs w:val="24"/>
                <w:lang w:eastAsia="en-GB"/>
              </w:rPr>
              <w:t>40</w:t>
            </w:r>
          </w:p>
        </w:tc>
        <w:tc>
          <w:tcPr>
            <w:tcW w:w="0" w:type="auto"/>
            <w:tcBorders>
              <w:top w:val="nil"/>
              <w:left w:val="nil"/>
              <w:bottom w:val="single" w:sz="18" w:space="0" w:color="AA273E"/>
              <w:right w:val="nil"/>
            </w:tcBorders>
            <w:shd w:val="clear" w:color="auto" w:fill="auto"/>
            <w:noWrap/>
            <w:vAlign w:val="center"/>
            <w:hideMark/>
          </w:tcPr>
          <w:p w:rsidR="00FA538E" w:rsidRPr="00FA6713" w:rsidRDefault="00FA538E" w:rsidP="00B05451">
            <w:pPr>
              <w:spacing w:after="0" w:line="240" w:lineRule="auto"/>
              <w:jc w:val="right"/>
              <w:rPr>
                <w:rFonts w:ascii="Gill Sans MT" w:eastAsia="Times New Roman" w:hAnsi="Gill Sans MT" w:cs="Times New Roman"/>
                <w:color w:val="000000"/>
                <w:sz w:val="24"/>
                <w:szCs w:val="24"/>
                <w:lang w:eastAsia="en-GB"/>
              </w:rPr>
            </w:pPr>
            <w:r>
              <w:rPr>
                <w:rFonts w:ascii="Gill Sans MT" w:eastAsia="Times New Roman" w:hAnsi="Gill Sans MT" w:cs="Times New Roman"/>
                <w:color w:val="000000"/>
                <w:sz w:val="24"/>
                <w:szCs w:val="24"/>
                <w:lang w:eastAsia="en-GB"/>
              </w:rPr>
              <w:t>10</w:t>
            </w:r>
            <w:r w:rsidRPr="00FA6713">
              <w:rPr>
                <w:rFonts w:ascii="Gill Sans MT" w:eastAsia="Times New Roman" w:hAnsi="Gill Sans MT" w:cs="Times New Roman"/>
                <w:color w:val="000000"/>
                <w:sz w:val="24"/>
                <w:szCs w:val="24"/>
                <w:lang w:eastAsia="en-GB"/>
              </w:rPr>
              <w:t>%</w:t>
            </w:r>
          </w:p>
        </w:tc>
      </w:tr>
      <w:tr w:rsidR="00FA538E" w:rsidRPr="00FA6713" w:rsidTr="00B05451">
        <w:trPr>
          <w:trHeight w:val="234"/>
          <w:jc w:val="center"/>
        </w:trPr>
        <w:tc>
          <w:tcPr>
            <w:tcW w:w="0" w:type="auto"/>
            <w:gridSpan w:val="3"/>
            <w:tcBorders>
              <w:top w:val="single" w:sz="18" w:space="0" w:color="AA273E"/>
              <w:left w:val="nil"/>
              <w:bottom w:val="nil"/>
              <w:right w:val="nil"/>
            </w:tcBorders>
            <w:shd w:val="clear" w:color="auto" w:fill="auto"/>
            <w:noWrap/>
            <w:vAlign w:val="center"/>
          </w:tcPr>
          <w:p w:rsidR="00FA538E" w:rsidRPr="00FA6713" w:rsidRDefault="00FA538E" w:rsidP="00B05451">
            <w:pPr>
              <w:spacing w:after="120" w:line="240" w:lineRule="auto"/>
              <w:rPr>
                <w:rFonts w:ascii="Gill Sans MT" w:eastAsia="Times New Roman" w:hAnsi="Gill Sans MT" w:cs="Times New Roman"/>
                <w:color w:val="000000"/>
                <w:sz w:val="24"/>
                <w:szCs w:val="24"/>
                <w:lang w:eastAsia="en-GB"/>
              </w:rPr>
            </w:pPr>
            <w:r>
              <w:rPr>
                <w:rFonts w:ascii="Gill Sans MT" w:eastAsia="Times New Roman" w:hAnsi="Gill Sans MT" w:cs="Times New Roman"/>
                <w:color w:val="000000"/>
                <w:lang w:eastAsia="en-GB"/>
              </w:rPr>
              <w:t xml:space="preserve">Table </w:t>
            </w:r>
            <w:r w:rsidR="00184C0D">
              <w:rPr>
                <w:rFonts w:ascii="Gill Sans MT" w:eastAsia="Times New Roman" w:hAnsi="Gill Sans MT" w:cs="Times New Roman"/>
                <w:color w:val="000000"/>
                <w:lang w:eastAsia="en-GB"/>
              </w:rPr>
              <w:t>1</w:t>
            </w:r>
            <w:r>
              <w:rPr>
                <w:rFonts w:ascii="Gill Sans MT" w:eastAsia="Times New Roman" w:hAnsi="Gill Sans MT" w:cs="Times New Roman"/>
                <w:color w:val="000000"/>
                <w:lang w:eastAsia="en-GB"/>
              </w:rPr>
              <w:t>: this table outlines the number of countries that have BITs in place for each category in the available sample. Data on BITs is obtained from the UNCTAD’s IIA Mapping Project.</w:t>
            </w:r>
          </w:p>
        </w:tc>
      </w:tr>
    </w:tbl>
    <w:p w:rsidR="00AD169B" w:rsidRPr="00D01CD3" w:rsidRDefault="00AD169B" w:rsidP="00AD169B">
      <w:pPr>
        <w:pStyle w:val="PlainText"/>
        <w:spacing w:after="120" w:line="360" w:lineRule="auto"/>
        <w:jc w:val="both"/>
        <w:rPr>
          <w:rFonts w:asciiTheme="minorHAnsi" w:hAnsiTheme="minorHAnsi" w:cs="Courier New"/>
          <w:sz w:val="22"/>
          <w:szCs w:val="22"/>
        </w:rPr>
      </w:pPr>
      <w:r>
        <w:rPr>
          <w:rFonts w:asciiTheme="minorHAnsi" w:hAnsiTheme="minorHAnsi" w:cs="Courier New"/>
          <w:sz w:val="22"/>
          <w:szCs w:val="22"/>
        </w:rPr>
        <w:t xml:space="preserve">We </w:t>
      </w:r>
      <w:r w:rsidRPr="00D01CD3">
        <w:rPr>
          <w:rFonts w:asciiTheme="minorHAnsi" w:hAnsiTheme="minorHAnsi" w:cs="Courier New"/>
          <w:sz w:val="22"/>
          <w:szCs w:val="22"/>
        </w:rPr>
        <w:t>evaluat</w:t>
      </w:r>
      <w:r>
        <w:rPr>
          <w:rFonts w:asciiTheme="minorHAnsi" w:hAnsiTheme="minorHAnsi" w:cs="Courier New"/>
          <w:sz w:val="22"/>
          <w:szCs w:val="22"/>
        </w:rPr>
        <w:t xml:space="preserve">e </w:t>
      </w:r>
      <w:r w:rsidRPr="00D01CD3">
        <w:rPr>
          <w:rFonts w:asciiTheme="minorHAnsi" w:hAnsiTheme="minorHAnsi" w:cs="Courier New"/>
          <w:sz w:val="22"/>
          <w:szCs w:val="22"/>
        </w:rPr>
        <w:t xml:space="preserve">the importance of </w:t>
      </w:r>
      <w:r>
        <w:rPr>
          <w:rFonts w:asciiTheme="minorHAnsi" w:hAnsiTheme="minorHAnsi" w:cs="Courier New"/>
          <w:sz w:val="22"/>
          <w:szCs w:val="22"/>
        </w:rPr>
        <w:t xml:space="preserve">ISDS provisions in </w:t>
      </w:r>
      <w:r w:rsidRPr="00D01CD3">
        <w:rPr>
          <w:rFonts w:asciiTheme="minorHAnsi" w:hAnsiTheme="minorHAnsi" w:cs="Courier New"/>
          <w:sz w:val="22"/>
          <w:szCs w:val="22"/>
        </w:rPr>
        <w:t xml:space="preserve">BITs on bilateral FDI inflows </w:t>
      </w:r>
      <w:r>
        <w:rPr>
          <w:rFonts w:asciiTheme="minorHAnsi" w:hAnsiTheme="minorHAnsi" w:cs="Courier New"/>
          <w:sz w:val="22"/>
          <w:szCs w:val="22"/>
        </w:rPr>
        <w:t xml:space="preserve">by dummy variables in an </w:t>
      </w:r>
      <w:r w:rsidRPr="00D01CD3">
        <w:rPr>
          <w:rFonts w:asciiTheme="minorHAnsi" w:hAnsiTheme="minorHAnsi" w:cs="Courier New"/>
          <w:sz w:val="22"/>
          <w:szCs w:val="22"/>
        </w:rPr>
        <w:t xml:space="preserve">augmented gravity model. The key </w:t>
      </w:r>
      <w:r>
        <w:rPr>
          <w:rFonts w:asciiTheme="minorHAnsi" w:hAnsiTheme="minorHAnsi" w:cs="Courier New"/>
          <w:sz w:val="22"/>
          <w:szCs w:val="22"/>
        </w:rPr>
        <w:t>provisions are t</w:t>
      </w:r>
      <w:r w:rsidRPr="00D01CD3">
        <w:rPr>
          <w:rFonts w:asciiTheme="minorHAnsi" w:hAnsiTheme="minorHAnsi" w:cs="Courier New"/>
          <w:sz w:val="22"/>
          <w:szCs w:val="22"/>
        </w:rPr>
        <w:t xml:space="preserve">he existence of ISDS provisions, the existence of binding interpretation of the treaty rules and the scope of ISDS claims. ISDS is not presumed to exist </w:t>
      </w:r>
      <w:r>
        <w:rPr>
          <w:rFonts w:asciiTheme="minorHAnsi" w:hAnsiTheme="minorHAnsi" w:cs="Courier New"/>
          <w:sz w:val="22"/>
          <w:szCs w:val="22"/>
        </w:rPr>
        <w:t xml:space="preserve">if </w:t>
      </w:r>
      <w:r w:rsidRPr="00D01CD3">
        <w:rPr>
          <w:rFonts w:asciiTheme="minorHAnsi" w:hAnsiTheme="minorHAnsi" w:cs="Courier New"/>
          <w:sz w:val="22"/>
          <w:szCs w:val="22"/>
        </w:rPr>
        <w:t xml:space="preserve">sovereigns do not give their prior consent to ISDS arbitration. While this assumptions is consistent with the previous work by Berger et al. (2011), it will be relaxed later </w:t>
      </w:r>
      <w:r>
        <w:rPr>
          <w:rFonts w:asciiTheme="minorHAnsi" w:hAnsiTheme="minorHAnsi" w:cs="Courier New"/>
          <w:sz w:val="22"/>
          <w:szCs w:val="22"/>
        </w:rPr>
        <w:t>in</w:t>
      </w:r>
      <w:r w:rsidRPr="00D01CD3">
        <w:rPr>
          <w:rFonts w:asciiTheme="minorHAnsi" w:hAnsiTheme="minorHAnsi" w:cs="Courier New"/>
          <w:sz w:val="22"/>
          <w:szCs w:val="22"/>
        </w:rPr>
        <w:t xml:space="preserve"> an attempt to identify the effect of pre-consent to ISDS as a third stipulation. Rules are assumed to be binding when contracting parties may not unilaterally </w:t>
      </w:r>
      <w:r>
        <w:rPr>
          <w:rFonts w:asciiTheme="minorHAnsi" w:hAnsiTheme="minorHAnsi" w:cs="Courier New"/>
          <w:sz w:val="22"/>
          <w:szCs w:val="22"/>
        </w:rPr>
        <w:t>make t</w:t>
      </w:r>
      <w:r w:rsidRPr="00D01CD3">
        <w:rPr>
          <w:rFonts w:asciiTheme="minorHAnsi" w:hAnsiTheme="minorHAnsi" w:cs="Courier New"/>
          <w:sz w:val="22"/>
          <w:szCs w:val="22"/>
        </w:rPr>
        <w:t>heir</w:t>
      </w:r>
      <w:r>
        <w:rPr>
          <w:rFonts w:asciiTheme="minorHAnsi" w:hAnsiTheme="minorHAnsi" w:cs="Courier New"/>
          <w:sz w:val="22"/>
          <w:szCs w:val="22"/>
        </w:rPr>
        <w:t xml:space="preserve"> own </w:t>
      </w:r>
      <w:r w:rsidRPr="00D01CD3">
        <w:rPr>
          <w:rFonts w:asciiTheme="minorHAnsi" w:hAnsiTheme="minorHAnsi" w:cs="Courier New"/>
          <w:sz w:val="22"/>
          <w:szCs w:val="22"/>
        </w:rPr>
        <w:t>interpretation of treaty provisions to the tribunal. Finally, the scope, or coverage, of ISDS is assumed to be unrestricted when ISDS is available for any investment related dispute, beyond wha</w:t>
      </w:r>
      <w:r>
        <w:rPr>
          <w:rFonts w:asciiTheme="minorHAnsi" w:hAnsiTheme="minorHAnsi" w:cs="Courier New"/>
          <w:sz w:val="22"/>
          <w:szCs w:val="22"/>
        </w:rPr>
        <w:t xml:space="preserve">t is stipulated in the treaty. </w:t>
      </w:r>
    </w:p>
    <w:p w:rsidR="00FA538E" w:rsidRDefault="00FA538E" w:rsidP="00FA538E">
      <w:pPr>
        <w:spacing w:after="0" w:line="240" w:lineRule="auto"/>
        <w:jc w:val="both"/>
        <w:rPr>
          <w:rFonts w:ascii="Gill Sans MT" w:eastAsia="Times New Roman" w:hAnsi="Gill Sans MT" w:cs="Times New Roman"/>
          <w:bCs/>
          <w:color w:val="AA273E"/>
          <w:sz w:val="28"/>
          <w:szCs w:val="28"/>
          <w:lang w:eastAsia="en-GB"/>
        </w:rPr>
        <w:sectPr w:rsidR="00FA538E" w:rsidSect="00030BE0">
          <w:footerReference w:type="default" r:id="rId9"/>
          <w:pgSz w:w="11906" w:h="16838"/>
          <w:pgMar w:top="1247" w:right="1332" w:bottom="1247" w:left="1332" w:header="567" w:footer="709" w:gutter="0"/>
          <w:cols w:space="708"/>
          <w:docGrid w:linePitch="360"/>
        </w:sectPr>
      </w:pPr>
    </w:p>
    <w:tbl>
      <w:tblPr>
        <w:tblW w:w="11992" w:type="dxa"/>
        <w:jc w:val="center"/>
        <w:tblLook w:val="04A0" w:firstRow="1" w:lastRow="0" w:firstColumn="1" w:lastColumn="0" w:noHBand="0" w:noVBand="1"/>
      </w:tblPr>
      <w:tblGrid>
        <w:gridCol w:w="11992"/>
      </w:tblGrid>
      <w:tr w:rsidR="00FA538E" w:rsidRPr="00CC2FE9" w:rsidTr="00B05451">
        <w:trPr>
          <w:trHeight w:val="324"/>
          <w:jc w:val="center"/>
        </w:trPr>
        <w:tc>
          <w:tcPr>
            <w:tcW w:w="11992" w:type="dxa"/>
            <w:tcBorders>
              <w:top w:val="nil"/>
              <w:left w:val="nil"/>
              <w:bottom w:val="nil"/>
              <w:right w:val="nil"/>
            </w:tcBorders>
            <w:shd w:val="clear" w:color="000000" w:fill="F2DCDB"/>
            <w:vAlign w:val="center"/>
            <w:hideMark/>
          </w:tcPr>
          <w:p w:rsidR="00FA538E" w:rsidRPr="00196EBD" w:rsidRDefault="00FA538E" w:rsidP="00B05451">
            <w:pPr>
              <w:spacing w:after="0" w:line="240" w:lineRule="auto"/>
              <w:jc w:val="both"/>
              <w:rPr>
                <w:rFonts w:ascii="Gill Sans MT" w:eastAsia="Times New Roman" w:hAnsi="Gill Sans MT" w:cs="Times New Roman"/>
                <w:b/>
                <w:bCs/>
                <w:color w:val="AA273E"/>
                <w:lang w:eastAsia="en-GB"/>
              </w:rPr>
            </w:pPr>
            <w:r>
              <w:rPr>
                <w:rFonts w:ascii="Gill Sans MT" w:eastAsia="Times New Roman" w:hAnsi="Gill Sans MT" w:cs="Times New Roman"/>
                <w:bCs/>
                <w:color w:val="AA273E"/>
                <w:sz w:val="28"/>
                <w:szCs w:val="28"/>
                <w:lang w:eastAsia="en-GB"/>
              </w:rPr>
              <w:lastRenderedPageBreak/>
              <w:t>Figure 1</w:t>
            </w:r>
            <w:r w:rsidRPr="00196EBD">
              <w:rPr>
                <w:rFonts w:ascii="Gill Sans MT" w:eastAsia="Times New Roman" w:hAnsi="Gill Sans MT" w:cs="Times New Roman"/>
                <w:bCs/>
                <w:color w:val="AA273E"/>
                <w:sz w:val="28"/>
                <w:szCs w:val="28"/>
                <w:lang w:eastAsia="en-GB"/>
              </w:rPr>
              <w:t xml:space="preserve">. </w:t>
            </w:r>
            <w:r>
              <w:rPr>
                <w:rFonts w:ascii="Gill Sans MT" w:eastAsia="Times New Roman" w:hAnsi="Gill Sans MT" w:cs="Times New Roman"/>
                <w:bCs/>
                <w:color w:val="AA273E"/>
                <w:sz w:val="28"/>
                <w:szCs w:val="28"/>
                <w:lang w:eastAsia="en-GB"/>
              </w:rPr>
              <w:t>Breakdown of BITs in Place by OECD Member</w:t>
            </w:r>
          </w:p>
        </w:tc>
      </w:tr>
      <w:tr w:rsidR="00FA538E" w:rsidRPr="00CC2FE9" w:rsidTr="00B05451">
        <w:trPr>
          <w:trHeight w:val="324"/>
          <w:jc w:val="center"/>
        </w:trPr>
        <w:tc>
          <w:tcPr>
            <w:tcW w:w="11992" w:type="dxa"/>
            <w:tcBorders>
              <w:top w:val="nil"/>
              <w:left w:val="nil"/>
              <w:bottom w:val="nil"/>
              <w:right w:val="nil"/>
            </w:tcBorders>
            <w:shd w:val="clear" w:color="auto" w:fill="FFFFFF" w:themeFill="background1"/>
            <w:vAlign w:val="center"/>
          </w:tcPr>
          <w:p w:rsidR="00FA538E" w:rsidRDefault="00FA538E" w:rsidP="00B05451">
            <w:pPr>
              <w:spacing w:after="0" w:line="240" w:lineRule="auto"/>
              <w:jc w:val="both"/>
              <w:rPr>
                <w:rFonts w:ascii="Gill Sans MT" w:eastAsia="Times New Roman" w:hAnsi="Gill Sans MT" w:cs="Times New Roman"/>
                <w:bCs/>
                <w:color w:val="953735"/>
                <w:sz w:val="28"/>
                <w:szCs w:val="28"/>
                <w:lang w:eastAsia="en-GB"/>
              </w:rPr>
            </w:pPr>
            <w:r>
              <w:rPr>
                <w:noProof/>
                <w:lang w:eastAsia="en-GB"/>
              </w:rPr>
              <w:drawing>
                <wp:inline distT="0" distB="0" distL="0" distR="0" wp14:anchorId="03437559" wp14:editId="4DF98E54">
                  <wp:extent cx="7372350" cy="51244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FA538E" w:rsidRPr="00CC2FE9" w:rsidTr="00B05451">
        <w:trPr>
          <w:trHeight w:val="666"/>
          <w:jc w:val="center"/>
        </w:trPr>
        <w:tc>
          <w:tcPr>
            <w:tcW w:w="11992" w:type="dxa"/>
            <w:tcBorders>
              <w:top w:val="single" w:sz="18" w:space="0" w:color="C00000"/>
              <w:left w:val="nil"/>
              <w:right w:val="nil"/>
            </w:tcBorders>
            <w:shd w:val="clear" w:color="auto" w:fill="auto"/>
            <w:vAlign w:val="center"/>
          </w:tcPr>
          <w:p w:rsidR="00FA538E" w:rsidRPr="00CC2FE9" w:rsidRDefault="00FA538E" w:rsidP="00B05451">
            <w:pPr>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 xml:space="preserve">Figure </w:t>
            </w:r>
            <w:r w:rsidR="00184C0D">
              <w:rPr>
                <w:rFonts w:ascii="Gill Sans MT" w:eastAsia="Times New Roman" w:hAnsi="Gill Sans MT" w:cs="Times New Roman"/>
                <w:color w:val="000000"/>
                <w:lang w:eastAsia="en-GB"/>
              </w:rPr>
              <w:t>1</w:t>
            </w:r>
            <w:r>
              <w:rPr>
                <w:rFonts w:ascii="Gill Sans MT" w:eastAsia="Times New Roman" w:hAnsi="Gill Sans MT" w:cs="Times New Roman"/>
                <w:color w:val="000000"/>
                <w:lang w:eastAsia="en-GB"/>
              </w:rPr>
              <w:t xml:space="preserve">: the graph above maps the type of BIT each OECD member has in place. Data on BITs is obtained from the UNCTAD’s IIA Mapping Project. </w:t>
            </w:r>
          </w:p>
        </w:tc>
      </w:tr>
    </w:tbl>
    <w:p w:rsidR="00FA538E" w:rsidRDefault="00FA538E" w:rsidP="00FA538E">
      <w:pPr>
        <w:pStyle w:val="PlainText"/>
        <w:spacing w:after="120" w:line="360" w:lineRule="auto"/>
        <w:jc w:val="both"/>
        <w:rPr>
          <w:rFonts w:asciiTheme="minorHAnsi" w:hAnsiTheme="minorHAnsi" w:cs="Courier New"/>
          <w:sz w:val="22"/>
          <w:szCs w:val="22"/>
        </w:rPr>
        <w:sectPr w:rsidR="00FA538E" w:rsidSect="004424EA">
          <w:pgSz w:w="16838" w:h="11906" w:orient="landscape"/>
          <w:pgMar w:top="1332" w:right="1247" w:bottom="1332" w:left="1247" w:header="567" w:footer="709" w:gutter="0"/>
          <w:cols w:space="708"/>
          <w:docGrid w:linePitch="360"/>
        </w:sectPr>
      </w:pPr>
    </w:p>
    <w:p w:rsidR="00AD169B" w:rsidRDefault="00AD169B" w:rsidP="00AD169B">
      <w:pPr>
        <w:pStyle w:val="PlainText"/>
        <w:spacing w:after="120" w:line="360" w:lineRule="auto"/>
        <w:jc w:val="both"/>
        <w:rPr>
          <w:rFonts w:asciiTheme="minorHAnsi" w:hAnsiTheme="minorHAnsi" w:cs="Courier New"/>
          <w:sz w:val="22"/>
          <w:szCs w:val="22"/>
        </w:rPr>
      </w:pPr>
      <w:r>
        <w:rPr>
          <w:rFonts w:asciiTheme="minorHAnsi" w:hAnsiTheme="minorHAnsi" w:cs="Courier New"/>
          <w:sz w:val="22"/>
          <w:szCs w:val="22"/>
        </w:rPr>
        <w:lastRenderedPageBreak/>
        <w:t>Figure</w:t>
      </w:r>
      <w:r w:rsidRPr="004E00E7">
        <w:rPr>
          <w:rFonts w:asciiTheme="minorHAnsi" w:hAnsiTheme="minorHAnsi" w:cs="Courier New"/>
          <w:sz w:val="22"/>
          <w:szCs w:val="22"/>
        </w:rPr>
        <w:t xml:space="preserve"> </w:t>
      </w:r>
      <w:r>
        <w:rPr>
          <w:rFonts w:asciiTheme="minorHAnsi" w:hAnsiTheme="minorHAnsi" w:cs="Courier New"/>
          <w:sz w:val="22"/>
          <w:szCs w:val="22"/>
        </w:rPr>
        <w:t xml:space="preserve">1 shows </w:t>
      </w:r>
      <w:r w:rsidRPr="004E00E7">
        <w:rPr>
          <w:rFonts w:asciiTheme="minorHAnsi" w:hAnsiTheme="minorHAnsi" w:cs="Courier New"/>
          <w:sz w:val="22"/>
          <w:szCs w:val="22"/>
        </w:rPr>
        <w:t>the types of BITs</w:t>
      </w:r>
      <w:r>
        <w:rPr>
          <w:rFonts w:asciiTheme="minorHAnsi" w:hAnsiTheme="minorHAnsi" w:cs="Courier New"/>
          <w:sz w:val="22"/>
          <w:szCs w:val="22"/>
        </w:rPr>
        <w:t xml:space="preserve"> and ISDS for each OECD country</w:t>
      </w:r>
      <w:r w:rsidRPr="004E00E7">
        <w:rPr>
          <w:rFonts w:asciiTheme="minorHAnsi" w:hAnsiTheme="minorHAnsi" w:cs="Courier New"/>
          <w:sz w:val="22"/>
          <w:szCs w:val="22"/>
        </w:rPr>
        <w:t xml:space="preserve">. Unsurprisingly, </w:t>
      </w:r>
      <w:r>
        <w:rPr>
          <w:rFonts w:asciiTheme="minorHAnsi" w:hAnsiTheme="minorHAnsi" w:cs="Courier New"/>
          <w:sz w:val="22"/>
          <w:szCs w:val="22"/>
        </w:rPr>
        <w:t>the developing eco</w:t>
      </w:r>
      <w:r>
        <w:rPr>
          <w:rFonts w:asciiTheme="minorHAnsi" w:hAnsiTheme="minorHAnsi" w:cs="Courier New"/>
          <w:sz w:val="22"/>
          <w:szCs w:val="22"/>
        </w:rPr>
        <w:t>n</w:t>
      </w:r>
      <w:r>
        <w:rPr>
          <w:rFonts w:asciiTheme="minorHAnsi" w:hAnsiTheme="minorHAnsi" w:cs="Courier New"/>
          <w:sz w:val="22"/>
          <w:szCs w:val="22"/>
        </w:rPr>
        <w:t>omies in</w:t>
      </w:r>
      <w:r w:rsidRPr="004E00E7">
        <w:rPr>
          <w:rFonts w:asciiTheme="minorHAnsi" w:hAnsiTheme="minorHAnsi" w:cs="Courier New"/>
          <w:sz w:val="22"/>
          <w:szCs w:val="22"/>
        </w:rPr>
        <w:t xml:space="preserve"> the OECD generally </w:t>
      </w:r>
      <w:r>
        <w:rPr>
          <w:rFonts w:asciiTheme="minorHAnsi" w:hAnsiTheme="minorHAnsi" w:cs="Courier New"/>
          <w:sz w:val="22"/>
          <w:szCs w:val="22"/>
        </w:rPr>
        <w:t xml:space="preserve">have more BITs </w:t>
      </w:r>
      <w:r w:rsidRPr="004E00E7">
        <w:rPr>
          <w:rFonts w:asciiTheme="minorHAnsi" w:hAnsiTheme="minorHAnsi" w:cs="Courier New"/>
          <w:sz w:val="22"/>
          <w:szCs w:val="22"/>
        </w:rPr>
        <w:t xml:space="preserve">as </w:t>
      </w:r>
      <w:r>
        <w:rPr>
          <w:rFonts w:asciiTheme="minorHAnsi" w:hAnsiTheme="minorHAnsi" w:cs="Courier New"/>
          <w:sz w:val="22"/>
          <w:szCs w:val="22"/>
        </w:rPr>
        <w:t xml:space="preserve">the need to reassure investors is arguably greater. The </w:t>
      </w:r>
      <w:r w:rsidRPr="004E00E7">
        <w:rPr>
          <w:rFonts w:asciiTheme="minorHAnsi" w:hAnsiTheme="minorHAnsi" w:cs="Courier New"/>
          <w:sz w:val="22"/>
          <w:szCs w:val="22"/>
        </w:rPr>
        <w:t xml:space="preserve">types of </w:t>
      </w:r>
      <w:r>
        <w:rPr>
          <w:rFonts w:asciiTheme="minorHAnsi" w:hAnsiTheme="minorHAnsi" w:cs="Courier New"/>
          <w:sz w:val="22"/>
          <w:szCs w:val="22"/>
        </w:rPr>
        <w:t xml:space="preserve">ISDS provisions contained in </w:t>
      </w:r>
      <w:r w:rsidRPr="004E00E7">
        <w:rPr>
          <w:rFonts w:asciiTheme="minorHAnsi" w:hAnsiTheme="minorHAnsi" w:cs="Courier New"/>
          <w:sz w:val="22"/>
          <w:szCs w:val="22"/>
        </w:rPr>
        <w:t>BITs are well distributed across countries</w:t>
      </w:r>
      <w:r>
        <w:rPr>
          <w:rFonts w:asciiTheme="minorHAnsi" w:hAnsiTheme="minorHAnsi" w:cs="Courier New"/>
          <w:sz w:val="22"/>
          <w:szCs w:val="22"/>
        </w:rPr>
        <w:t>. T</w:t>
      </w:r>
      <w:r w:rsidRPr="004E00E7">
        <w:rPr>
          <w:rFonts w:asciiTheme="minorHAnsi" w:hAnsiTheme="minorHAnsi" w:cs="Courier New"/>
          <w:sz w:val="22"/>
          <w:szCs w:val="22"/>
        </w:rPr>
        <w:t>here is no</w:t>
      </w:r>
      <w:r>
        <w:rPr>
          <w:rFonts w:asciiTheme="minorHAnsi" w:hAnsiTheme="minorHAnsi" w:cs="Courier New"/>
          <w:sz w:val="22"/>
          <w:szCs w:val="22"/>
        </w:rPr>
        <w:t xml:space="preserve"> sign that </w:t>
      </w:r>
      <w:r w:rsidRPr="004E00E7">
        <w:rPr>
          <w:rFonts w:asciiTheme="minorHAnsi" w:hAnsiTheme="minorHAnsi" w:cs="Courier New"/>
          <w:sz w:val="22"/>
          <w:szCs w:val="22"/>
        </w:rPr>
        <w:t>a particular type of country will pu</w:t>
      </w:r>
      <w:r>
        <w:rPr>
          <w:rFonts w:asciiTheme="minorHAnsi" w:hAnsiTheme="minorHAnsi" w:cs="Courier New"/>
          <w:sz w:val="22"/>
          <w:szCs w:val="22"/>
        </w:rPr>
        <w:t xml:space="preserve">rsue a particular type of ISDS provisions in their BITs. </w:t>
      </w:r>
    </w:p>
    <w:p w:rsidR="00FA538E" w:rsidRPr="004E00E7" w:rsidRDefault="00FA538E" w:rsidP="00FA538E">
      <w:pPr>
        <w:pStyle w:val="PlainText"/>
        <w:spacing w:after="120" w:line="360" w:lineRule="auto"/>
        <w:jc w:val="both"/>
        <w:rPr>
          <w:rFonts w:asciiTheme="minorHAnsi" w:hAnsiTheme="minorHAnsi" w:cs="Courier New"/>
          <w:sz w:val="22"/>
          <w:szCs w:val="22"/>
        </w:rPr>
      </w:pPr>
      <w:r>
        <w:rPr>
          <w:rFonts w:asciiTheme="minorHAnsi" w:hAnsiTheme="minorHAnsi" w:cs="Courier New"/>
          <w:sz w:val="22"/>
          <w:szCs w:val="22"/>
        </w:rPr>
        <w:t>The</w:t>
      </w:r>
      <w:r w:rsidRPr="004E00E7">
        <w:rPr>
          <w:rFonts w:asciiTheme="minorHAnsi" w:hAnsiTheme="minorHAnsi" w:cs="Courier New"/>
          <w:sz w:val="22"/>
          <w:szCs w:val="22"/>
        </w:rPr>
        <w:t xml:space="preserve"> </w:t>
      </w:r>
      <w:r>
        <w:rPr>
          <w:rFonts w:asciiTheme="minorHAnsi" w:hAnsiTheme="minorHAnsi" w:cs="Courier New"/>
          <w:sz w:val="22"/>
          <w:szCs w:val="22"/>
        </w:rPr>
        <w:t>World Trade Organisation (</w:t>
      </w:r>
      <w:r w:rsidRPr="004E00E7">
        <w:rPr>
          <w:rFonts w:asciiTheme="minorHAnsi" w:hAnsiTheme="minorHAnsi" w:cs="Courier New"/>
          <w:sz w:val="22"/>
          <w:szCs w:val="22"/>
        </w:rPr>
        <w:t>WTO</w:t>
      </w:r>
      <w:r>
        <w:rPr>
          <w:rFonts w:asciiTheme="minorHAnsi" w:hAnsiTheme="minorHAnsi" w:cs="Courier New"/>
          <w:sz w:val="22"/>
          <w:szCs w:val="22"/>
        </w:rPr>
        <w:t>)</w:t>
      </w:r>
      <w:r w:rsidRPr="004E00E7">
        <w:rPr>
          <w:rFonts w:asciiTheme="minorHAnsi" w:hAnsiTheme="minorHAnsi" w:cs="Courier New"/>
          <w:sz w:val="22"/>
          <w:szCs w:val="22"/>
        </w:rPr>
        <w:t xml:space="preserve"> provides a database for information on all </w:t>
      </w:r>
      <w:r>
        <w:rPr>
          <w:rFonts w:asciiTheme="minorHAnsi" w:hAnsiTheme="minorHAnsi" w:cs="Courier New"/>
          <w:sz w:val="22"/>
          <w:szCs w:val="22"/>
        </w:rPr>
        <w:t xml:space="preserve">PTAs, including </w:t>
      </w:r>
      <w:r w:rsidRPr="004E00E7">
        <w:rPr>
          <w:rFonts w:asciiTheme="minorHAnsi" w:hAnsiTheme="minorHAnsi" w:cs="Courier New"/>
          <w:sz w:val="22"/>
          <w:szCs w:val="22"/>
        </w:rPr>
        <w:t>by OECD member countries. Notable examples include EU treaties</w:t>
      </w:r>
      <w:r w:rsidR="00C02070">
        <w:rPr>
          <w:rFonts w:asciiTheme="minorHAnsi" w:hAnsiTheme="minorHAnsi" w:cs="Courier New"/>
          <w:sz w:val="22"/>
          <w:szCs w:val="22"/>
        </w:rPr>
        <w:t xml:space="preserve"> </w:t>
      </w:r>
      <w:r w:rsidRPr="004E00E7">
        <w:rPr>
          <w:rFonts w:asciiTheme="minorHAnsi" w:hAnsiTheme="minorHAnsi" w:cs="Courier New"/>
          <w:sz w:val="22"/>
          <w:szCs w:val="22"/>
        </w:rPr>
        <w:t xml:space="preserve">as well as the North American Free Trade Agreement (NAFTA). Extensive information is available </w:t>
      </w:r>
      <w:r>
        <w:rPr>
          <w:rFonts w:asciiTheme="minorHAnsi" w:hAnsiTheme="minorHAnsi" w:cs="Courier New"/>
          <w:sz w:val="22"/>
          <w:szCs w:val="22"/>
        </w:rPr>
        <w:t xml:space="preserve">on </w:t>
      </w:r>
      <w:r w:rsidRPr="004E00E7">
        <w:rPr>
          <w:rFonts w:asciiTheme="minorHAnsi" w:hAnsiTheme="minorHAnsi" w:cs="Courier New"/>
          <w:sz w:val="22"/>
          <w:szCs w:val="22"/>
        </w:rPr>
        <w:t xml:space="preserve">the contents of the treaties and their stipulations; tariffs, investment, and institutional quality are outlined and evaluated by a multinomial system </w:t>
      </w:r>
      <w:r w:rsidR="00C02070">
        <w:rPr>
          <w:rFonts w:asciiTheme="minorHAnsi" w:hAnsiTheme="minorHAnsi" w:cs="Courier New"/>
          <w:sz w:val="22"/>
          <w:szCs w:val="22"/>
        </w:rPr>
        <w:t xml:space="preserve">which </w:t>
      </w:r>
      <w:r w:rsidRPr="004E00E7">
        <w:rPr>
          <w:rFonts w:asciiTheme="minorHAnsi" w:hAnsiTheme="minorHAnsi" w:cs="Courier New"/>
          <w:sz w:val="22"/>
          <w:szCs w:val="22"/>
        </w:rPr>
        <w:t>measur</w:t>
      </w:r>
      <w:r w:rsidR="00C02070">
        <w:rPr>
          <w:rFonts w:asciiTheme="minorHAnsi" w:hAnsiTheme="minorHAnsi" w:cs="Courier New"/>
          <w:sz w:val="22"/>
          <w:szCs w:val="22"/>
        </w:rPr>
        <w:t xml:space="preserve">es </w:t>
      </w:r>
      <w:r w:rsidRPr="004E00E7">
        <w:rPr>
          <w:rFonts w:asciiTheme="minorHAnsi" w:hAnsiTheme="minorHAnsi" w:cs="Courier New"/>
          <w:sz w:val="22"/>
          <w:szCs w:val="22"/>
        </w:rPr>
        <w:t>their extent of implementation</w:t>
      </w:r>
      <w:r w:rsidR="00C02070">
        <w:rPr>
          <w:rFonts w:asciiTheme="minorHAnsi" w:hAnsiTheme="minorHAnsi" w:cs="Courier New"/>
          <w:sz w:val="22"/>
          <w:szCs w:val="22"/>
        </w:rPr>
        <w:t xml:space="preserve"> and </w:t>
      </w:r>
      <w:r w:rsidRPr="004E00E7">
        <w:rPr>
          <w:rFonts w:asciiTheme="minorHAnsi" w:hAnsiTheme="minorHAnsi" w:cs="Courier New"/>
          <w:sz w:val="22"/>
          <w:szCs w:val="22"/>
        </w:rPr>
        <w:t xml:space="preserve">legal enforceability. </w:t>
      </w:r>
      <w:r w:rsidR="00C02070">
        <w:rPr>
          <w:rFonts w:asciiTheme="minorHAnsi" w:hAnsiTheme="minorHAnsi" w:cs="Courier New"/>
          <w:sz w:val="22"/>
          <w:szCs w:val="22"/>
        </w:rPr>
        <w:t>These s</w:t>
      </w:r>
      <w:r w:rsidRPr="004E00E7">
        <w:rPr>
          <w:rFonts w:asciiTheme="minorHAnsi" w:hAnsiTheme="minorHAnsi" w:cs="Courier New"/>
          <w:sz w:val="22"/>
          <w:szCs w:val="22"/>
        </w:rPr>
        <w:t>tipulations are summarized under several variable</w:t>
      </w:r>
      <w:r w:rsidR="00C02070">
        <w:rPr>
          <w:rFonts w:asciiTheme="minorHAnsi" w:hAnsiTheme="minorHAnsi" w:cs="Courier New"/>
          <w:sz w:val="22"/>
          <w:szCs w:val="22"/>
        </w:rPr>
        <w:t xml:space="preserve"> heading</w:t>
      </w:r>
      <w:r w:rsidRPr="004E00E7">
        <w:rPr>
          <w:rFonts w:asciiTheme="minorHAnsi" w:hAnsiTheme="minorHAnsi" w:cs="Courier New"/>
          <w:sz w:val="22"/>
          <w:szCs w:val="22"/>
        </w:rPr>
        <w:t>s</w:t>
      </w:r>
      <w:r w:rsidR="00C02070">
        <w:rPr>
          <w:rFonts w:asciiTheme="minorHAnsi" w:hAnsiTheme="minorHAnsi" w:cs="Courier New"/>
          <w:sz w:val="22"/>
          <w:szCs w:val="22"/>
        </w:rPr>
        <w:t xml:space="preserve"> such as </w:t>
      </w:r>
      <w:r w:rsidRPr="004E00E7">
        <w:rPr>
          <w:rFonts w:asciiTheme="minorHAnsi" w:hAnsiTheme="minorHAnsi" w:cs="Courier New"/>
          <w:sz w:val="22"/>
          <w:szCs w:val="22"/>
        </w:rPr>
        <w:t xml:space="preserve">depth of the agreement, the type of trade deals, investment protection provisions and whether the treaty is related to EU membership. </w:t>
      </w:r>
      <w:r w:rsidR="00C02070">
        <w:rPr>
          <w:rFonts w:asciiTheme="minorHAnsi" w:hAnsiTheme="minorHAnsi" w:cs="Courier New"/>
          <w:sz w:val="22"/>
          <w:szCs w:val="22"/>
        </w:rPr>
        <w:t xml:space="preserve">We also include a </w:t>
      </w:r>
      <w:r w:rsidRPr="004E00E7">
        <w:rPr>
          <w:rFonts w:asciiTheme="minorHAnsi" w:hAnsiTheme="minorHAnsi" w:cs="Courier New"/>
          <w:sz w:val="22"/>
          <w:szCs w:val="22"/>
        </w:rPr>
        <w:t>Polity score</w:t>
      </w:r>
      <w:r w:rsidR="00C02070">
        <w:rPr>
          <w:rFonts w:asciiTheme="minorHAnsi" w:hAnsiTheme="minorHAnsi" w:cs="Courier New"/>
          <w:sz w:val="22"/>
          <w:szCs w:val="22"/>
        </w:rPr>
        <w:t xml:space="preserve"> </w:t>
      </w:r>
      <w:r w:rsidRPr="004E00E7">
        <w:rPr>
          <w:rFonts w:asciiTheme="minorHAnsi" w:hAnsiTheme="minorHAnsi" w:cs="Courier New"/>
          <w:sz w:val="22"/>
          <w:szCs w:val="22"/>
        </w:rPr>
        <w:t>for each country</w:t>
      </w:r>
      <w:r w:rsidR="00C02070">
        <w:rPr>
          <w:rFonts w:asciiTheme="minorHAnsi" w:hAnsiTheme="minorHAnsi" w:cs="Courier New"/>
          <w:sz w:val="22"/>
          <w:szCs w:val="22"/>
        </w:rPr>
        <w:t xml:space="preserve"> from the Po</w:t>
      </w:r>
      <w:r w:rsidRPr="004E00E7">
        <w:rPr>
          <w:rFonts w:asciiTheme="minorHAnsi" w:hAnsiTheme="minorHAnsi" w:cs="Courier New"/>
          <w:sz w:val="22"/>
          <w:szCs w:val="22"/>
        </w:rPr>
        <w:t>lity IV Project</w:t>
      </w:r>
      <w:r w:rsidR="00C02070">
        <w:rPr>
          <w:rFonts w:asciiTheme="minorHAnsi" w:hAnsiTheme="minorHAnsi" w:cs="Courier New"/>
          <w:sz w:val="22"/>
          <w:szCs w:val="22"/>
        </w:rPr>
        <w:t xml:space="preserve"> which is an index from plus 10 to minus 10 based on the </w:t>
      </w:r>
      <w:r>
        <w:rPr>
          <w:rFonts w:asciiTheme="minorHAnsi" w:hAnsiTheme="minorHAnsi" w:cs="Courier New"/>
          <w:sz w:val="22"/>
          <w:szCs w:val="22"/>
        </w:rPr>
        <w:t>level of democracy and institutional quality</w:t>
      </w:r>
      <w:r w:rsidR="00C02070">
        <w:rPr>
          <w:rFonts w:asciiTheme="minorHAnsi" w:hAnsiTheme="minorHAnsi" w:cs="Courier New"/>
          <w:sz w:val="22"/>
          <w:szCs w:val="22"/>
        </w:rPr>
        <w:t>. N</w:t>
      </w:r>
      <w:r>
        <w:rPr>
          <w:rFonts w:asciiTheme="minorHAnsi" w:hAnsiTheme="minorHAnsi" w:cs="Courier New"/>
          <w:sz w:val="22"/>
          <w:szCs w:val="22"/>
        </w:rPr>
        <w:t>egative scores indicat</w:t>
      </w:r>
      <w:r w:rsidR="00C02070">
        <w:rPr>
          <w:rFonts w:asciiTheme="minorHAnsi" w:hAnsiTheme="minorHAnsi" w:cs="Courier New"/>
          <w:sz w:val="22"/>
          <w:szCs w:val="22"/>
        </w:rPr>
        <w:t xml:space="preserve">e </w:t>
      </w:r>
      <w:r>
        <w:rPr>
          <w:rFonts w:asciiTheme="minorHAnsi" w:hAnsiTheme="minorHAnsi" w:cs="Courier New"/>
          <w:sz w:val="22"/>
          <w:szCs w:val="22"/>
        </w:rPr>
        <w:t>autocratic rule, and positive scores indicating democratic rule.</w:t>
      </w:r>
      <w:r w:rsidR="00C02070">
        <w:rPr>
          <w:rFonts w:asciiTheme="minorHAnsi" w:hAnsiTheme="minorHAnsi" w:cs="Courier New"/>
          <w:sz w:val="22"/>
          <w:szCs w:val="22"/>
        </w:rPr>
        <w:t xml:space="preserve"> </w:t>
      </w:r>
      <w:r>
        <w:rPr>
          <w:rFonts w:asciiTheme="minorHAnsi" w:hAnsiTheme="minorHAnsi" w:cs="Courier New"/>
          <w:sz w:val="22"/>
          <w:szCs w:val="22"/>
        </w:rPr>
        <w:t xml:space="preserve">Appendix 2 </w:t>
      </w:r>
      <w:r w:rsidR="00C02070">
        <w:rPr>
          <w:rFonts w:asciiTheme="minorHAnsi" w:hAnsiTheme="minorHAnsi" w:cs="Courier New"/>
          <w:sz w:val="22"/>
          <w:szCs w:val="22"/>
        </w:rPr>
        <w:t>summarise</w:t>
      </w:r>
      <w:r w:rsidR="005F2B54">
        <w:rPr>
          <w:rFonts w:asciiTheme="minorHAnsi" w:hAnsiTheme="minorHAnsi" w:cs="Courier New"/>
          <w:sz w:val="22"/>
          <w:szCs w:val="22"/>
        </w:rPr>
        <w:t>s</w:t>
      </w:r>
      <w:r w:rsidR="00C02070">
        <w:rPr>
          <w:rFonts w:asciiTheme="minorHAnsi" w:hAnsiTheme="minorHAnsi" w:cs="Courier New"/>
          <w:sz w:val="22"/>
          <w:szCs w:val="22"/>
        </w:rPr>
        <w:t xml:space="preserve"> </w:t>
      </w:r>
      <w:r>
        <w:rPr>
          <w:rFonts w:asciiTheme="minorHAnsi" w:hAnsiTheme="minorHAnsi" w:cs="Courier New"/>
          <w:sz w:val="22"/>
          <w:szCs w:val="22"/>
        </w:rPr>
        <w:t>all variables used.</w:t>
      </w:r>
    </w:p>
    <w:p w:rsidR="00AE181D" w:rsidRDefault="00AE181D" w:rsidP="00AE181D">
      <w:pPr>
        <w:pStyle w:val="PlainText"/>
        <w:numPr>
          <w:ilvl w:val="1"/>
          <w:numId w:val="2"/>
        </w:numPr>
        <w:spacing w:line="360" w:lineRule="auto"/>
        <w:jc w:val="both"/>
        <w:rPr>
          <w:rFonts w:asciiTheme="minorHAnsi" w:hAnsiTheme="minorHAnsi" w:cs="Courier New"/>
          <w:b/>
          <w:sz w:val="22"/>
          <w:szCs w:val="22"/>
        </w:rPr>
      </w:pPr>
      <w:r>
        <w:rPr>
          <w:rFonts w:asciiTheme="minorHAnsi" w:hAnsiTheme="minorHAnsi" w:cs="Courier New"/>
          <w:b/>
          <w:sz w:val="22"/>
          <w:szCs w:val="22"/>
        </w:rPr>
        <w:t>Method</w:t>
      </w:r>
    </w:p>
    <w:p w:rsidR="00AE181D" w:rsidRDefault="00AE181D" w:rsidP="00AE181D">
      <w:pPr>
        <w:pStyle w:val="PlainText"/>
        <w:spacing w:after="120" w:line="360" w:lineRule="auto"/>
        <w:jc w:val="both"/>
        <w:rPr>
          <w:rFonts w:asciiTheme="minorHAnsi" w:hAnsiTheme="minorHAnsi" w:cs="Courier New"/>
          <w:sz w:val="22"/>
          <w:szCs w:val="22"/>
        </w:rPr>
      </w:pPr>
      <w:r>
        <w:rPr>
          <w:rFonts w:asciiTheme="minorHAnsi" w:hAnsiTheme="minorHAnsi" w:cs="Courier New"/>
          <w:sz w:val="22"/>
          <w:szCs w:val="22"/>
        </w:rPr>
        <w:t xml:space="preserve">We follow </w:t>
      </w:r>
      <w:r w:rsidRPr="00D01CD3">
        <w:rPr>
          <w:rFonts w:asciiTheme="minorHAnsi" w:hAnsiTheme="minorHAnsi" w:cs="Courier New"/>
          <w:sz w:val="22"/>
          <w:szCs w:val="22"/>
        </w:rPr>
        <w:t>Santos Silva and Tenreyro (2006)</w:t>
      </w:r>
      <w:r>
        <w:rPr>
          <w:rFonts w:asciiTheme="minorHAnsi" w:hAnsiTheme="minorHAnsi" w:cs="Courier New"/>
          <w:sz w:val="22"/>
          <w:szCs w:val="22"/>
        </w:rPr>
        <w:t xml:space="preserve"> and use a </w:t>
      </w:r>
      <w:r w:rsidRPr="00D01CD3">
        <w:rPr>
          <w:rFonts w:asciiTheme="minorHAnsi" w:hAnsiTheme="minorHAnsi" w:cs="Courier New"/>
          <w:sz w:val="22"/>
          <w:szCs w:val="22"/>
        </w:rPr>
        <w:t>Poisson Pseudo Maximum Likelihood (PPML) estimator</w:t>
      </w:r>
      <w:r>
        <w:rPr>
          <w:rFonts w:asciiTheme="minorHAnsi" w:hAnsiTheme="minorHAnsi" w:cs="Courier New"/>
          <w:sz w:val="22"/>
          <w:szCs w:val="22"/>
        </w:rPr>
        <w:t xml:space="preserve"> to take account of instances of zero bilateral investment flows (the log being undefined) and </w:t>
      </w:r>
      <w:r w:rsidRPr="00D01CD3">
        <w:rPr>
          <w:rFonts w:asciiTheme="minorHAnsi" w:hAnsiTheme="minorHAnsi" w:cs="Courier New"/>
          <w:sz w:val="22"/>
          <w:szCs w:val="22"/>
        </w:rPr>
        <w:t>heteroskedastic errors</w:t>
      </w:r>
      <w:r>
        <w:rPr>
          <w:rFonts w:asciiTheme="minorHAnsi" w:hAnsiTheme="minorHAnsi" w:cs="Courier New"/>
          <w:sz w:val="22"/>
          <w:szCs w:val="22"/>
        </w:rPr>
        <w:t>. T</w:t>
      </w:r>
      <w:r w:rsidRPr="00D01CD3">
        <w:rPr>
          <w:rFonts w:asciiTheme="minorHAnsi" w:hAnsiTheme="minorHAnsi" w:cs="Courier New"/>
          <w:sz w:val="22"/>
          <w:szCs w:val="22"/>
        </w:rPr>
        <w:t xml:space="preserve">he PPML estimator provides the same benefits </w:t>
      </w:r>
      <w:r>
        <w:rPr>
          <w:rFonts w:asciiTheme="minorHAnsi" w:hAnsiTheme="minorHAnsi" w:cs="Courier New"/>
          <w:sz w:val="22"/>
          <w:szCs w:val="22"/>
        </w:rPr>
        <w:t xml:space="preserve">for FDI </w:t>
      </w:r>
      <w:r w:rsidRPr="00D01CD3">
        <w:rPr>
          <w:rFonts w:asciiTheme="minorHAnsi" w:hAnsiTheme="minorHAnsi" w:cs="Courier New"/>
          <w:sz w:val="22"/>
          <w:szCs w:val="22"/>
        </w:rPr>
        <w:t>as for trade data, and is therefore appropriate for this analysis</w:t>
      </w:r>
      <w:r>
        <w:rPr>
          <w:rFonts w:asciiTheme="minorHAnsi" w:hAnsiTheme="minorHAnsi" w:cs="Courier New"/>
          <w:sz w:val="22"/>
          <w:szCs w:val="22"/>
        </w:rPr>
        <w:t xml:space="preserve">. </w:t>
      </w:r>
      <w:r w:rsidRPr="00D01CD3">
        <w:rPr>
          <w:rFonts w:asciiTheme="minorHAnsi" w:hAnsiTheme="minorHAnsi" w:cs="Courier New"/>
          <w:sz w:val="22"/>
          <w:szCs w:val="22"/>
        </w:rPr>
        <w:t>The model is described as follows:</w:t>
      </w:r>
    </w:p>
    <w:p w:rsidR="00AE181D" w:rsidRPr="005D796F" w:rsidRDefault="00AC7126" w:rsidP="00AE181D">
      <w:pPr>
        <w:pStyle w:val="PlainText"/>
        <w:spacing w:after="120" w:line="360" w:lineRule="auto"/>
        <w:jc w:val="both"/>
        <w:rPr>
          <w:rFonts w:asciiTheme="minorHAnsi" w:eastAsiaTheme="minorEastAsia" w:hAnsiTheme="minorHAnsi" w:cs="Courier New"/>
          <w:sz w:val="22"/>
          <w:szCs w:val="22"/>
        </w:rPr>
      </w:pPr>
      <m:oMath>
        <m:d>
          <m:dPr>
            <m:ctrlPr>
              <w:rPr>
                <w:rFonts w:ascii="Cambria Math" w:hAnsi="Cambria Math" w:cs="Courier New"/>
                <w:i/>
                <w:sz w:val="22"/>
                <w:szCs w:val="22"/>
              </w:rPr>
            </m:ctrlPr>
          </m:dPr>
          <m:e>
            <m:r>
              <w:rPr>
                <w:rFonts w:ascii="Cambria Math" w:hAnsi="Cambria Math" w:cs="Courier New"/>
                <w:sz w:val="22"/>
                <w:szCs w:val="22"/>
              </w:rPr>
              <m:t>1</m:t>
            </m:r>
          </m:e>
        </m:d>
        <m:r>
          <w:rPr>
            <w:rFonts w:ascii="Cambria Math" w:hAnsi="Cambria Math" w:cs="Courier New"/>
            <w:sz w:val="22"/>
            <w:szCs w:val="22"/>
          </w:rPr>
          <m:t xml:space="preserve">     </m:t>
        </m:r>
        <m:sSub>
          <m:sSubPr>
            <m:ctrlPr>
              <w:rPr>
                <w:rFonts w:ascii="Cambria Math" w:hAnsi="Cambria Math" w:cs="Courier New"/>
                <w:i/>
                <w:sz w:val="22"/>
                <w:szCs w:val="22"/>
              </w:rPr>
            </m:ctrlPr>
          </m:sSubPr>
          <m:e>
            <m:r>
              <w:rPr>
                <w:rFonts w:ascii="Cambria Math" w:hAnsi="Cambria Math" w:cs="Courier New"/>
                <w:sz w:val="22"/>
                <w:szCs w:val="22"/>
              </w:rPr>
              <m:t>FDI</m:t>
            </m:r>
          </m:e>
          <m:sub>
            <m:r>
              <w:rPr>
                <w:rFonts w:ascii="Cambria Math" w:hAnsi="Cambria Math" w:cs="Courier New"/>
                <w:sz w:val="22"/>
                <w:szCs w:val="22"/>
              </w:rPr>
              <m:t>ijt</m:t>
            </m:r>
          </m:sub>
        </m:sSub>
        <m:r>
          <w:rPr>
            <w:rFonts w:ascii="Cambria Math" w:hAnsi="Cambria Math" w:cs="Courier New"/>
            <w:sz w:val="22"/>
            <w:szCs w:val="22"/>
          </w:rPr>
          <m:t>=e^{α+</m:t>
        </m:r>
        <m:sSub>
          <m:sSubPr>
            <m:ctrlPr>
              <w:rPr>
                <w:rFonts w:ascii="Cambria Math" w:hAnsi="Cambria Math" w:cs="Courier New"/>
                <w:i/>
                <w:sz w:val="22"/>
                <w:szCs w:val="22"/>
              </w:rPr>
            </m:ctrlPr>
          </m:sSubPr>
          <m:e>
            <m:r>
              <w:rPr>
                <w:rFonts w:ascii="Cambria Math" w:hAnsi="Cambria Math" w:cs="Courier New"/>
                <w:sz w:val="22"/>
                <w:szCs w:val="22"/>
              </w:rPr>
              <m:t>B</m:t>
            </m:r>
          </m:e>
          <m:sub>
            <m:r>
              <w:rPr>
                <w:rFonts w:ascii="Cambria Math" w:hAnsi="Cambria Math" w:cs="Courier New"/>
                <w:sz w:val="22"/>
                <w:szCs w:val="22"/>
              </w:rPr>
              <m:t>ijt</m:t>
            </m:r>
          </m:sub>
        </m:sSub>
        <m:r>
          <w:rPr>
            <w:rFonts w:ascii="Cambria Math" w:hAnsi="Cambria Math" w:cs="Courier New"/>
            <w:sz w:val="22"/>
            <w:szCs w:val="22"/>
          </w:rPr>
          <m:t>+</m:t>
        </m:r>
        <m:sSub>
          <m:sSubPr>
            <m:ctrlPr>
              <w:rPr>
                <w:rFonts w:ascii="Cambria Math" w:hAnsi="Cambria Math" w:cs="Courier New"/>
                <w:i/>
                <w:sz w:val="22"/>
                <w:szCs w:val="22"/>
              </w:rPr>
            </m:ctrlPr>
          </m:sSubPr>
          <m:e>
            <m:r>
              <w:rPr>
                <w:rFonts w:ascii="Cambria Math" w:hAnsi="Cambria Math" w:cs="Courier New"/>
                <w:sz w:val="22"/>
                <w:szCs w:val="22"/>
              </w:rPr>
              <m:t>β</m:t>
            </m:r>
          </m:e>
          <m:sub>
            <m:r>
              <w:rPr>
                <w:rFonts w:ascii="Cambria Math" w:hAnsi="Cambria Math" w:cs="Courier New"/>
                <w:sz w:val="22"/>
                <w:szCs w:val="22"/>
              </w:rPr>
              <m:t>6</m:t>
            </m:r>
          </m:sub>
        </m:sSub>
        <m:func>
          <m:funcPr>
            <m:ctrlPr>
              <w:rPr>
                <w:rFonts w:ascii="Cambria Math" w:hAnsi="Cambria Math" w:cs="Courier New"/>
                <w:sz w:val="22"/>
                <w:szCs w:val="22"/>
              </w:rPr>
            </m:ctrlPr>
          </m:funcPr>
          <m:fName>
            <m:r>
              <m:rPr>
                <m:sty m:val="p"/>
              </m:rPr>
              <w:rPr>
                <w:rFonts w:ascii="Cambria Math" w:hAnsi="Cambria Math" w:cs="Courier New"/>
                <w:sz w:val="22"/>
                <w:szCs w:val="22"/>
              </w:rPr>
              <m:t>ln</m:t>
            </m:r>
          </m:fName>
          <m:e>
            <m:d>
              <m:dPr>
                <m:ctrlPr>
                  <w:rPr>
                    <w:rFonts w:ascii="Cambria Math" w:hAnsi="Cambria Math" w:cs="Courier New"/>
                    <w:i/>
                    <w:sz w:val="22"/>
                    <w:szCs w:val="22"/>
                  </w:rPr>
                </m:ctrlPr>
              </m:dPr>
              <m:e>
                <m:sSub>
                  <m:sSubPr>
                    <m:ctrlPr>
                      <w:rPr>
                        <w:rFonts w:ascii="Cambria Math" w:hAnsi="Cambria Math" w:cs="Courier New"/>
                        <w:i/>
                        <w:sz w:val="22"/>
                        <w:szCs w:val="22"/>
                      </w:rPr>
                    </m:ctrlPr>
                  </m:sSubPr>
                  <m:e>
                    <m:r>
                      <w:rPr>
                        <w:rFonts w:ascii="Cambria Math" w:hAnsi="Cambria Math" w:cs="Courier New"/>
                        <w:sz w:val="22"/>
                        <w:szCs w:val="22"/>
                      </w:rPr>
                      <m:t>GDP</m:t>
                    </m:r>
                  </m:e>
                  <m:sub>
                    <m:r>
                      <w:rPr>
                        <w:rFonts w:ascii="Cambria Math" w:hAnsi="Cambria Math" w:cs="Courier New"/>
                        <w:sz w:val="22"/>
                        <w:szCs w:val="22"/>
                      </w:rPr>
                      <m:t>it</m:t>
                    </m:r>
                  </m:sub>
                </m:sSub>
              </m:e>
            </m:d>
          </m:e>
        </m:func>
        <m:r>
          <w:rPr>
            <w:rFonts w:ascii="Cambria Math" w:hAnsi="Cambria Math" w:cs="Courier New"/>
            <w:sz w:val="22"/>
            <w:szCs w:val="22"/>
          </w:rPr>
          <m:t>+</m:t>
        </m:r>
        <m:sSub>
          <m:sSubPr>
            <m:ctrlPr>
              <w:rPr>
                <w:rFonts w:ascii="Cambria Math" w:hAnsi="Cambria Math" w:cs="Courier New"/>
                <w:i/>
                <w:sz w:val="22"/>
                <w:szCs w:val="22"/>
              </w:rPr>
            </m:ctrlPr>
          </m:sSubPr>
          <m:e>
            <m:r>
              <w:rPr>
                <w:rFonts w:ascii="Cambria Math" w:hAnsi="Cambria Math" w:cs="Courier New"/>
                <w:sz w:val="22"/>
                <w:szCs w:val="22"/>
              </w:rPr>
              <m:t>β</m:t>
            </m:r>
          </m:e>
          <m:sub>
            <m:r>
              <w:rPr>
                <w:rFonts w:ascii="Cambria Math" w:hAnsi="Cambria Math" w:cs="Courier New"/>
                <w:sz w:val="22"/>
                <w:szCs w:val="22"/>
              </w:rPr>
              <m:t>7</m:t>
            </m:r>
          </m:sub>
        </m:sSub>
        <m:func>
          <m:funcPr>
            <m:ctrlPr>
              <w:rPr>
                <w:rFonts w:ascii="Cambria Math" w:hAnsi="Cambria Math" w:cs="Courier New"/>
                <w:sz w:val="22"/>
                <w:szCs w:val="22"/>
              </w:rPr>
            </m:ctrlPr>
          </m:funcPr>
          <m:fName>
            <m:r>
              <m:rPr>
                <m:sty m:val="p"/>
              </m:rPr>
              <w:rPr>
                <w:rFonts w:ascii="Cambria Math" w:hAnsi="Cambria Math" w:cs="Courier New"/>
                <w:sz w:val="22"/>
                <w:szCs w:val="22"/>
              </w:rPr>
              <m:t>ln</m:t>
            </m:r>
          </m:fName>
          <m:e>
            <m:d>
              <m:dPr>
                <m:ctrlPr>
                  <w:rPr>
                    <w:rFonts w:ascii="Cambria Math" w:hAnsi="Cambria Math" w:cs="Courier New"/>
                    <w:i/>
                    <w:sz w:val="22"/>
                    <w:szCs w:val="22"/>
                  </w:rPr>
                </m:ctrlPr>
              </m:dPr>
              <m:e>
                <m:sSub>
                  <m:sSubPr>
                    <m:ctrlPr>
                      <w:rPr>
                        <w:rFonts w:ascii="Cambria Math" w:hAnsi="Cambria Math" w:cs="Courier New"/>
                        <w:i/>
                        <w:sz w:val="22"/>
                        <w:szCs w:val="22"/>
                      </w:rPr>
                    </m:ctrlPr>
                  </m:sSubPr>
                  <m:e>
                    <m:r>
                      <w:rPr>
                        <w:rFonts w:ascii="Cambria Math" w:hAnsi="Cambria Math" w:cs="Courier New"/>
                        <w:sz w:val="22"/>
                        <w:szCs w:val="22"/>
                      </w:rPr>
                      <m:t>GDP</m:t>
                    </m:r>
                  </m:e>
                  <m:sub>
                    <m:r>
                      <w:rPr>
                        <w:rFonts w:ascii="Cambria Math" w:hAnsi="Cambria Math" w:cs="Courier New"/>
                        <w:sz w:val="22"/>
                        <w:szCs w:val="22"/>
                      </w:rPr>
                      <m:t>jt</m:t>
                    </m:r>
                  </m:sub>
                </m:sSub>
              </m:e>
            </m:d>
          </m:e>
        </m:func>
        <m:r>
          <w:rPr>
            <w:rFonts w:ascii="Cambria Math" w:hAnsi="Cambria Math" w:cs="Courier New"/>
            <w:sz w:val="22"/>
            <w:szCs w:val="22"/>
          </w:rPr>
          <m:t xml:space="preserve">+ </m:t>
        </m:r>
        <m:sSub>
          <m:sSubPr>
            <m:ctrlPr>
              <w:rPr>
                <w:rFonts w:ascii="Cambria Math" w:hAnsi="Cambria Math" w:cs="Courier New"/>
                <w:i/>
                <w:sz w:val="22"/>
                <w:szCs w:val="22"/>
              </w:rPr>
            </m:ctrlPr>
          </m:sSubPr>
          <m:e>
            <m:r>
              <w:rPr>
                <w:rFonts w:ascii="Cambria Math" w:hAnsi="Cambria Math" w:cs="Courier New"/>
                <w:sz w:val="22"/>
                <w:szCs w:val="22"/>
              </w:rPr>
              <m:t>X</m:t>
            </m:r>
          </m:e>
          <m:sub>
            <m:r>
              <w:rPr>
                <w:rFonts w:ascii="Cambria Math" w:hAnsi="Cambria Math" w:cs="Courier New"/>
                <w:sz w:val="22"/>
                <w:szCs w:val="22"/>
              </w:rPr>
              <m:t>ijt</m:t>
            </m:r>
          </m:sub>
        </m:sSub>
        <m:r>
          <w:rPr>
            <w:rFonts w:ascii="Cambria Math" w:hAnsi="Cambria Math" w:cs="Courier New"/>
            <w:sz w:val="22"/>
            <w:szCs w:val="22"/>
          </w:rPr>
          <m:t>+</m:t>
        </m:r>
        <m:sSub>
          <m:sSubPr>
            <m:ctrlPr>
              <w:rPr>
                <w:rFonts w:ascii="Cambria Math" w:hAnsi="Cambria Math" w:cs="Courier New"/>
                <w:i/>
                <w:sz w:val="22"/>
                <w:szCs w:val="22"/>
              </w:rPr>
            </m:ctrlPr>
          </m:sSubPr>
          <m:e>
            <m:r>
              <w:rPr>
                <w:rFonts w:ascii="Cambria Math" w:hAnsi="Cambria Math" w:cs="Courier New"/>
                <w:sz w:val="22"/>
                <w:szCs w:val="22"/>
              </w:rPr>
              <m:t>T</m:t>
            </m:r>
          </m:e>
          <m:sub>
            <m:r>
              <w:rPr>
                <w:rFonts w:ascii="Cambria Math" w:hAnsi="Cambria Math" w:cs="Courier New"/>
                <w:sz w:val="22"/>
                <w:szCs w:val="22"/>
              </w:rPr>
              <m:t>t</m:t>
            </m:r>
          </m:sub>
        </m:sSub>
        <m:r>
          <w:rPr>
            <w:rFonts w:ascii="Cambria Math" w:hAnsi="Cambria Math" w:cs="Courier New"/>
            <w:sz w:val="22"/>
            <w:szCs w:val="22"/>
          </w:rPr>
          <m:t>+</m:t>
        </m:r>
        <m:sSub>
          <m:sSubPr>
            <m:ctrlPr>
              <w:rPr>
                <w:rFonts w:ascii="Cambria Math" w:hAnsi="Cambria Math" w:cs="Courier New"/>
                <w:i/>
                <w:sz w:val="22"/>
                <w:szCs w:val="22"/>
              </w:rPr>
            </m:ctrlPr>
          </m:sSubPr>
          <m:e>
            <m:r>
              <w:rPr>
                <w:rFonts w:ascii="Cambria Math" w:hAnsi="Cambria Math" w:cs="Courier New"/>
                <w:sz w:val="22"/>
                <w:szCs w:val="22"/>
              </w:rPr>
              <m:t>P</m:t>
            </m:r>
          </m:e>
          <m:sub>
            <m:r>
              <w:rPr>
                <w:rFonts w:ascii="Cambria Math" w:hAnsi="Cambria Math" w:cs="Courier New"/>
                <w:sz w:val="22"/>
                <w:szCs w:val="22"/>
              </w:rPr>
              <m:t>ij</m:t>
            </m:r>
          </m:sub>
        </m:sSub>
        <m:r>
          <w:rPr>
            <w:rFonts w:ascii="Cambria Math" w:hAnsi="Cambria Math" w:cs="Courier New"/>
            <w:sz w:val="22"/>
            <w:szCs w:val="22"/>
          </w:rPr>
          <m:t>}</m:t>
        </m:r>
        <m:sSub>
          <m:sSubPr>
            <m:ctrlPr>
              <w:rPr>
                <w:rFonts w:ascii="Cambria Math" w:hAnsi="Cambria Math" w:cs="Courier New"/>
                <w:i/>
                <w:sz w:val="22"/>
                <w:szCs w:val="22"/>
              </w:rPr>
            </m:ctrlPr>
          </m:sSubPr>
          <m:e>
            <m:r>
              <w:rPr>
                <w:rFonts w:ascii="Cambria Math" w:hAnsi="Cambria Math" w:cs="Courier New"/>
                <w:sz w:val="22"/>
                <w:szCs w:val="22"/>
              </w:rPr>
              <m:t>u</m:t>
            </m:r>
          </m:e>
          <m:sub>
            <m:r>
              <w:rPr>
                <w:rFonts w:ascii="Cambria Math" w:hAnsi="Cambria Math" w:cs="Courier New"/>
                <w:sz w:val="22"/>
                <w:szCs w:val="22"/>
              </w:rPr>
              <m:t>ijt</m:t>
            </m:r>
          </m:sub>
        </m:sSub>
      </m:oMath>
      <w:r w:rsidR="00AE181D">
        <w:rPr>
          <w:rFonts w:asciiTheme="minorHAnsi" w:eastAsiaTheme="minorEastAsia" w:hAnsiTheme="minorHAnsi" w:cs="Courier New"/>
          <w:sz w:val="22"/>
          <w:szCs w:val="22"/>
        </w:rPr>
        <w:tab/>
      </w:r>
      <w:r w:rsidR="00AE181D">
        <w:rPr>
          <w:rFonts w:asciiTheme="minorHAnsi" w:eastAsiaTheme="minorEastAsia" w:hAnsiTheme="minorHAnsi" w:cs="Courier New"/>
          <w:sz w:val="22"/>
          <w:szCs w:val="22"/>
        </w:rPr>
        <w:tab/>
      </w:r>
    </w:p>
    <w:p w:rsidR="00AE181D" w:rsidRPr="005D796F" w:rsidRDefault="00AC7126" w:rsidP="00AE181D">
      <w:pPr>
        <w:pStyle w:val="PlainText"/>
        <w:spacing w:after="120" w:line="360" w:lineRule="auto"/>
        <w:jc w:val="both"/>
        <w:rPr>
          <w:rFonts w:asciiTheme="minorHAnsi" w:eastAsiaTheme="minorEastAsia" w:hAnsiTheme="minorHAnsi" w:cs="Courier New"/>
          <w:sz w:val="22"/>
          <w:szCs w:val="22"/>
        </w:rPr>
      </w:pPr>
      <m:oMath>
        <m:sSub>
          <m:sSubPr>
            <m:ctrlPr>
              <w:rPr>
                <w:rFonts w:ascii="Cambria Math" w:hAnsi="Cambria Math" w:cs="Courier New"/>
                <w:i/>
                <w:sz w:val="22"/>
                <w:szCs w:val="22"/>
              </w:rPr>
            </m:ctrlPr>
          </m:sSubPr>
          <m:e>
            <m:d>
              <m:dPr>
                <m:ctrlPr>
                  <w:rPr>
                    <w:rFonts w:ascii="Cambria Math" w:hAnsi="Cambria Math" w:cs="Courier New"/>
                    <w:i/>
                    <w:sz w:val="22"/>
                    <w:szCs w:val="22"/>
                  </w:rPr>
                </m:ctrlPr>
              </m:dPr>
              <m:e>
                <m:r>
                  <w:rPr>
                    <w:rFonts w:ascii="Cambria Math" w:hAnsi="Cambria Math" w:cs="Courier New"/>
                    <w:sz w:val="22"/>
                    <w:szCs w:val="22"/>
                  </w:rPr>
                  <m:t>2</m:t>
                </m:r>
              </m:e>
            </m:d>
            <m:r>
              <w:rPr>
                <w:rFonts w:ascii="Cambria Math" w:hAnsi="Cambria Math" w:cs="Courier New"/>
                <w:sz w:val="22"/>
                <w:szCs w:val="22"/>
              </w:rPr>
              <m:t xml:space="preserve">     B</m:t>
            </m:r>
          </m:e>
          <m:sub>
            <m:r>
              <w:rPr>
                <w:rFonts w:ascii="Cambria Math" w:hAnsi="Cambria Math" w:cs="Courier New"/>
                <w:sz w:val="22"/>
                <w:szCs w:val="22"/>
              </w:rPr>
              <m:t>ijt</m:t>
            </m:r>
          </m:sub>
        </m:sSub>
        <m:r>
          <w:rPr>
            <w:rFonts w:ascii="Cambria Math" w:hAnsi="Cambria Math" w:cs="Courier New"/>
            <w:sz w:val="22"/>
            <w:szCs w:val="22"/>
          </w:rPr>
          <m:t xml:space="preserve">= </m:t>
        </m:r>
        <m:sSub>
          <m:sSubPr>
            <m:ctrlPr>
              <w:rPr>
                <w:rFonts w:ascii="Cambria Math" w:hAnsi="Cambria Math" w:cs="Courier New"/>
                <w:i/>
                <w:sz w:val="22"/>
                <w:szCs w:val="22"/>
              </w:rPr>
            </m:ctrlPr>
          </m:sSubPr>
          <m:e>
            <m:r>
              <w:rPr>
                <w:rFonts w:ascii="Cambria Math" w:hAnsi="Cambria Math" w:cs="Courier New"/>
                <w:sz w:val="22"/>
                <w:szCs w:val="22"/>
              </w:rPr>
              <m:t>β</m:t>
            </m:r>
          </m:e>
          <m:sub>
            <m:r>
              <w:rPr>
                <w:rFonts w:ascii="Cambria Math" w:hAnsi="Cambria Math" w:cs="Courier New"/>
                <w:sz w:val="22"/>
                <w:szCs w:val="22"/>
              </w:rPr>
              <m:t>1</m:t>
            </m:r>
          </m:sub>
        </m:sSub>
        <m:sSub>
          <m:sSubPr>
            <m:ctrlPr>
              <w:rPr>
                <w:rFonts w:ascii="Cambria Math" w:hAnsi="Cambria Math" w:cs="Courier New"/>
                <w:i/>
                <w:sz w:val="22"/>
                <w:szCs w:val="22"/>
              </w:rPr>
            </m:ctrlPr>
          </m:sSubPr>
          <m:e>
            <m:r>
              <w:rPr>
                <w:rFonts w:ascii="Cambria Math" w:hAnsi="Cambria Math" w:cs="Courier New"/>
                <w:sz w:val="22"/>
                <w:szCs w:val="22"/>
              </w:rPr>
              <m:t>BIT</m:t>
            </m:r>
          </m:e>
          <m:sub>
            <m:r>
              <w:rPr>
                <w:rFonts w:ascii="Cambria Math" w:hAnsi="Cambria Math" w:cs="Courier New"/>
                <w:sz w:val="22"/>
                <w:szCs w:val="22"/>
              </w:rPr>
              <m:t>ijt</m:t>
            </m:r>
          </m:sub>
        </m:sSub>
        <m:r>
          <w:rPr>
            <w:rFonts w:ascii="Cambria Math" w:hAnsi="Cambria Math" w:cs="Courier New"/>
            <w:sz w:val="22"/>
            <w:szCs w:val="22"/>
          </w:rPr>
          <m:t>+</m:t>
        </m:r>
        <m:sSub>
          <m:sSubPr>
            <m:ctrlPr>
              <w:rPr>
                <w:rFonts w:ascii="Cambria Math" w:hAnsi="Cambria Math" w:cs="Courier New"/>
                <w:i/>
                <w:sz w:val="22"/>
                <w:szCs w:val="22"/>
              </w:rPr>
            </m:ctrlPr>
          </m:sSubPr>
          <m:e>
            <m:r>
              <w:rPr>
                <w:rFonts w:ascii="Cambria Math" w:hAnsi="Cambria Math" w:cs="Courier New"/>
                <w:sz w:val="22"/>
                <w:szCs w:val="22"/>
              </w:rPr>
              <m:t>β</m:t>
            </m:r>
          </m:e>
          <m:sub>
            <m:r>
              <w:rPr>
                <w:rFonts w:ascii="Cambria Math" w:hAnsi="Cambria Math" w:cs="Courier New"/>
                <w:sz w:val="22"/>
                <w:szCs w:val="22"/>
              </w:rPr>
              <m:t>2</m:t>
            </m:r>
          </m:sub>
        </m:sSub>
        <m:sSub>
          <m:sSubPr>
            <m:ctrlPr>
              <w:rPr>
                <w:rFonts w:ascii="Cambria Math" w:hAnsi="Cambria Math" w:cs="Courier New"/>
                <w:i/>
                <w:sz w:val="22"/>
                <w:szCs w:val="22"/>
              </w:rPr>
            </m:ctrlPr>
          </m:sSubPr>
          <m:e>
            <m:r>
              <w:rPr>
                <w:rFonts w:ascii="Cambria Math" w:hAnsi="Cambria Math" w:cs="Courier New"/>
                <w:sz w:val="22"/>
                <w:szCs w:val="22"/>
              </w:rPr>
              <m:t>Pre</m:t>
            </m:r>
          </m:e>
          <m:sub>
            <m:r>
              <w:rPr>
                <w:rFonts w:ascii="Cambria Math" w:hAnsi="Cambria Math" w:cs="Courier New"/>
                <w:sz w:val="22"/>
                <w:szCs w:val="22"/>
              </w:rPr>
              <m:t>ijt</m:t>
            </m:r>
          </m:sub>
        </m:sSub>
        <m:r>
          <w:rPr>
            <w:rFonts w:ascii="Cambria Math" w:hAnsi="Cambria Math" w:cs="Courier New"/>
            <w:sz w:val="22"/>
            <w:szCs w:val="22"/>
          </w:rPr>
          <m:t>+</m:t>
        </m:r>
        <m:sSub>
          <m:sSubPr>
            <m:ctrlPr>
              <w:rPr>
                <w:rFonts w:ascii="Cambria Math" w:hAnsi="Cambria Math" w:cs="Courier New"/>
                <w:i/>
                <w:sz w:val="22"/>
                <w:szCs w:val="22"/>
              </w:rPr>
            </m:ctrlPr>
          </m:sSubPr>
          <m:e>
            <m:r>
              <w:rPr>
                <w:rFonts w:ascii="Cambria Math" w:hAnsi="Cambria Math" w:cs="Courier New"/>
                <w:sz w:val="22"/>
                <w:szCs w:val="22"/>
              </w:rPr>
              <m:t>β</m:t>
            </m:r>
          </m:e>
          <m:sub>
            <m:r>
              <w:rPr>
                <w:rFonts w:ascii="Cambria Math" w:hAnsi="Cambria Math" w:cs="Courier New"/>
                <w:sz w:val="22"/>
                <w:szCs w:val="22"/>
              </w:rPr>
              <m:t>3</m:t>
            </m:r>
          </m:sub>
        </m:sSub>
        <m:sSub>
          <m:sSubPr>
            <m:ctrlPr>
              <w:rPr>
                <w:rFonts w:ascii="Cambria Math" w:hAnsi="Cambria Math" w:cs="Courier New"/>
                <w:i/>
                <w:sz w:val="22"/>
                <w:szCs w:val="22"/>
              </w:rPr>
            </m:ctrlPr>
          </m:sSubPr>
          <m:e>
            <m:r>
              <w:rPr>
                <w:rFonts w:ascii="Cambria Math" w:hAnsi="Cambria Math" w:cs="Courier New"/>
                <w:sz w:val="22"/>
                <w:szCs w:val="22"/>
              </w:rPr>
              <m:t>Bin</m:t>
            </m:r>
          </m:e>
          <m:sub>
            <m:r>
              <w:rPr>
                <w:rFonts w:ascii="Cambria Math" w:hAnsi="Cambria Math" w:cs="Courier New"/>
                <w:sz w:val="22"/>
                <w:szCs w:val="22"/>
              </w:rPr>
              <m:t>ijt</m:t>
            </m:r>
          </m:sub>
        </m:sSub>
        <m:r>
          <w:rPr>
            <w:rFonts w:ascii="Cambria Math" w:hAnsi="Cambria Math" w:cs="Courier New"/>
            <w:sz w:val="22"/>
            <w:szCs w:val="22"/>
          </w:rPr>
          <m:t>+</m:t>
        </m:r>
        <m:sSub>
          <m:sSubPr>
            <m:ctrlPr>
              <w:rPr>
                <w:rFonts w:ascii="Cambria Math" w:hAnsi="Cambria Math" w:cs="Courier New"/>
                <w:i/>
                <w:sz w:val="22"/>
                <w:szCs w:val="22"/>
              </w:rPr>
            </m:ctrlPr>
          </m:sSubPr>
          <m:e>
            <m:r>
              <w:rPr>
                <w:rFonts w:ascii="Cambria Math" w:hAnsi="Cambria Math" w:cs="Courier New"/>
                <w:sz w:val="22"/>
                <w:szCs w:val="22"/>
              </w:rPr>
              <m:t>β</m:t>
            </m:r>
          </m:e>
          <m:sub>
            <m:r>
              <w:rPr>
                <w:rFonts w:ascii="Cambria Math" w:hAnsi="Cambria Math" w:cs="Courier New"/>
                <w:sz w:val="22"/>
                <w:szCs w:val="22"/>
              </w:rPr>
              <m:t>4</m:t>
            </m:r>
          </m:sub>
        </m:sSub>
        <m:sSub>
          <m:sSubPr>
            <m:ctrlPr>
              <w:rPr>
                <w:rFonts w:ascii="Cambria Math" w:hAnsi="Cambria Math" w:cs="Courier New"/>
                <w:i/>
                <w:sz w:val="22"/>
                <w:szCs w:val="22"/>
              </w:rPr>
            </m:ctrlPr>
          </m:sSubPr>
          <m:e>
            <m:r>
              <w:rPr>
                <w:rFonts w:ascii="Cambria Math" w:hAnsi="Cambria Math" w:cs="Courier New"/>
                <w:sz w:val="22"/>
                <w:szCs w:val="22"/>
              </w:rPr>
              <m:t>Unre</m:t>
            </m:r>
          </m:e>
          <m:sub>
            <m:r>
              <w:rPr>
                <w:rFonts w:ascii="Cambria Math" w:hAnsi="Cambria Math" w:cs="Courier New"/>
                <w:sz w:val="22"/>
                <w:szCs w:val="22"/>
              </w:rPr>
              <m:t>ijt</m:t>
            </m:r>
          </m:sub>
        </m:sSub>
        <m:r>
          <w:rPr>
            <w:rFonts w:ascii="Cambria Math" w:hAnsi="Cambria Math" w:cs="Courier New"/>
            <w:sz w:val="22"/>
            <w:szCs w:val="22"/>
          </w:rPr>
          <m:t>+</m:t>
        </m:r>
        <m:sSub>
          <m:sSubPr>
            <m:ctrlPr>
              <w:rPr>
                <w:rFonts w:ascii="Cambria Math" w:hAnsi="Cambria Math" w:cs="Courier New"/>
                <w:i/>
                <w:sz w:val="22"/>
                <w:szCs w:val="22"/>
              </w:rPr>
            </m:ctrlPr>
          </m:sSubPr>
          <m:e>
            <m:r>
              <w:rPr>
                <w:rFonts w:ascii="Cambria Math" w:hAnsi="Cambria Math" w:cs="Courier New"/>
                <w:sz w:val="22"/>
                <w:szCs w:val="22"/>
              </w:rPr>
              <m:t>β</m:t>
            </m:r>
          </m:e>
          <m:sub>
            <m:r>
              <w:rPr>
                <w:rFonts w:ascii="Cambria Math" w:hAnsi="Cambria Math" w:cs="Courier New"/>
                <w:sz w:val="22"/>
                <w:szCs w:val="22"/>
              </w:rPr>
              <m:t>5</m:t>
            </m:r>
          </m:sub>
        </m:sSub>
        <m:r>
          <w:rPr>
            <w:rFonts w:ascii="Cambria Math" w:hAnsi="Cambria Math" w:cs="Courier New"/>
            <w:sz w:val="22"/>
            <w:szCs w:val="22"/>
          </w:rPr>
          <m:t>(</m:t>
        </m:r>
        <m:sSub>
          <m:sSubPr>
            <m:ctrlPr>
              <w:rPr>
                <w:rFonts w:ascii="Cambria Math" w:hAnsi="Cambria Math" w:cs="Courier New"/>
                <w:i/>
                <w:sz w:val="22"/>
                <w:szCs w:val="22"/>
              </w:rPr>
            </m:ctrlPr>
          </m:sSubPr>
          <m:e>
            <m:r>
              <w:rPr>
                <w:rFonts w:ascii="Cambria Math" w:hAnsi="Cambria Math" w:cs="Courier New"/>
                <w:sz w:val="22"/>
                <w:szCs w:val="22"/>
              </w:rPr>
              <m:t>Bin</m:t>
            </m:r>
          </m:e>
          <m:sub>
            <m:r>
              <w:rPr>
                <w:rFonts w:ascii="Cambria Math" w:hAnsi="Cambria Math" w:cs="Courier New"/>
                <w:sz w:val="22"/>
                <w:szCs w:val="22"/>
              </w:rPr>
              <m:t>ijt</m:t>
            </m:r>
          </m:sub>
        </m:sSub>
        <m:r>
          <w:rPr>
            <w:rFonts w:ascii="Cambria Math" w:hAnsi="Cambria Math" w:cs="Courier New"/>
            <w:sz w:val="22"/>
            <w:szCs w:val="22"/>
          </w:rPr>
          <m:t>*</m:t>
        </m:r>
        <m:sSub>
          <m:sSubPr>
            <m:ctrlPr>
              <w:rPr>
                <w:rFonts w:ascii="Cambria Math" w:hAnsi="Cambria Math" w:cs="Courier New"/>
                <w:i/>
                <w:sz w:val="22"/>
                <w:szCs w:val="22"/>
              </w:rPr>
            </m:ctrlPr>
          </m:sSubPr>
          <m:e>
            <m:r>
              <w:rPr>
                <w:rFonts w:ascii="Cambria Math" w:hAnsi="Cambria Math" w:cs="Courier New"/>
                <w:sz w:val="22"/>
                <w:szCs w:val="22"/>
              </w:rPr>
              <m:t>Unre</m:t>
            </m:r>
          </m:e>
          <m:sub>
            <m:r>
              <w:rPr>
                <w:rFonts w:ascii="Cambria Math" w:hAnsi="Cambria Math" w:cs="Courier New"/>
                <w:sz w:val="22"/>
                <w:szCs w:val="22"/>
              </w:rPr>
              <m:t>ijt</m:t>
            </m:r>
          </m:sub>
        </m:sSub>
        <m:r>
          <w:rPr>
            <w:rFonts w:ascii="Cambria Math" w:hAnsi="Cambria Math" w:cs="Courier New"/>
            <w:sz w:val="22"/>
            <w:szCs w:val="22"/>
          </w:rPr>
          <m:t>)</m:t>
        </m:r>
      </m:oMath>
      <w:r w:rsidR="00AE181D">
        <w:rPr>
          <w:rFonts w:asciiTheme="minorHAnsi" w:eastAsiaTheme="minorEastAsia" w:hAnsiTheme="minorHAnsi" w:cs="Courier New"/>
          <w:sz w:val="22"/>
          <w:szCs w:val="22"/>
        </w:rPr>
        <w:tab/>
      </w:r>
      <w:r w:rsidR="00AE181D">
        <w:rPr>
          <w:rFonts w:asciiTheme="minorHAnsi" w:eastAsiaTheme="minorEastAsia" w:hAnsiTheme="minorHAnsi" w:cs="Courier New"/>
          <w:sz w:val="22"/>
          <w:szCs w:val="22"/>
        </w:rPr>
        <w:tab/>
      </w:r>
    </w:p>
    <w:p w:rsidR="00AE181D" w:rsidRDefault="00AE181D" w:rsidP="00AE181D">
      <w:pPr>
        <w:pStyle w:val="PlainText"/>
        <w:spacing w:after="120" w:line="360" w:lineRule="auto"/>
        <w:jc w:val="both"/>
        <w:rPr>
          <w:rFonts w:asciiTheme="minorHAnsi" w:hAnsiTheme="minorHAnsi" w:cs="Courier New"/>
          <w:sz w:val="22"/>
          <w:szCs w:val="22"/>
        </w:rPr>
      </w:pPr>
      <w:r w:rsidRPr="009B25DB">
        <w:rPr>
          <w:rFonts w:asciiTheme="minorHAnsi" w:hAnsiTheme="minorHAnsi" w:cs="Courier New"/>
          <w:sz w:val="22"/>
          <w:szCs w:val="22"/>
        </w:rPr>
        <w:t xml:space="preserve">Here, FDI inflows from </w:t>
      </w:r>
      <w:r>
        <w:rPr>
          <w:rFonts w:asciiTheme="minorHAnsi" w:hAnsiTheme="minorHAnsi" w:cs="Courier New"/>
          <w:i/>
          <w:sz w:val="22"/>
          <w:szCs w:val="22"/>
        </w:rPr>
        <w:t>j</w:t>
      </w:r>
      <w:r w:rsidRPr="009B25DB">
        <w:rPr>
          <w:rFonts w:asciiTheme="minorHAnsi" w:hAnsiTheme="minorHAnsi" w:cs="Courier New"/>
          <w:sz w:val="22"/>
          <w:szCs w:val="22"/>
        </w:rPr>
        <w:t xml:space="preserve"> to </w:t>
      </w:r>
      <w:r>
        <w:rPr>
          <w:rFonts w:asciiTheme="minorHAnsi" w:hAnsiTheme="minorHAnsi" w:cs="Courier New"/>
          <w:i/>
          <w:sz w:val="22"/>
          <w:szCs w:val="22"/>
        </w:rPr>
        <w:t>i</w:t>
      </w:r>
      <w:r w:rsidRPr="009B25DB">
        <w:rPr>
          <w:rFonts w:asciiTheme="minorHAnsi" w:hAnsiTheme="minorHAnsi" w:cs="Courier New"/>
          <w:sz w:val="22"/>
          <w:szCs w:val="22"/>
        </w:rPr>
        <w:t xml:space="preserve"> at time </w:t>
      </w:r>
      <w:r>
        <w:rPr>
          <w:rFonts w:asciiTheme="minorHAnsi" w:hAnsiTheme="minorHAnsi" w:cs="Courier New"/>
          <w:i/>
          <w:sz w:val="22"/>
          <w:szCs w:val="22"/>
        </w:rPr>
        <w:t>t</w:t>
      </w:r>
      <w:r w:rsidRPr="009B25DB">
        <w:rPr>
          <w:rFonts w:asciiTheme="minorHAnsi" w:hAnsiTheme="minorHAnsi" w:cs="Courier New"/>
          <w:sz w:val="22"/>
          <w:szCs w:val="22"/>
        </w:rPr>
        <w:t xml:space="preserve"> are reported in levels. Variable </w:t>
      </w:r>
      <m:oMath>
        <m:sSub>
          <m:sSubPr>
            <m:ctrlPr>
              <w:rPr>
                <w:rFonts w:ascii="Cambria Math" w:hAnsi="Cambria Math" w:cs="Courier New"/>
                <w:i/>
                <w:sz w:val="22"/>
                <w:szCs w:val="22"/>
              </w:rPr>
            </m:ctrlPr>
          </m:sSubPr>
          <m:e>
            <m:r>
              <w:rPr>
                <w:rFonts w:ascii="Cambria Math" w:hAnsi="Cambria Math" w:cs="Courier New"/>
                <w:sz w:val="22"/>
                <w:szCs w:val="22"/>
              </w:rPr>
              <m:t>B</m:t>
            </m:r>
          </m:e>
          <m:sub>
            <m:r>
              <w:rPr>
                <w:rFonts w:ascii="Cambria Math" w:hAnsi="Cambria Math" w:cs="Courier New"/>
                <w:sz w:val="22"/>
                <w:szCs w:val="22"/>
              </w:rPr>
              <m:t>ijt</m:t>
            </m:r>
          </m:sub>
        </m:sSub>
      </m:oMath>
      <w:r>
        <w:rPr>
          <w:rFonts w:asciiTheme="minorHAnsi" w:eastAsiaTheme="minorEastAsia" w:hAnsiTheme="minorHAnsi" w:cs="Courier New"/>
          <w:sz w:val="22"/>
          <w:szCs w:val="22"/>
        </w:rPr>
        <w:t xml:space="preserve"> </w:t>
      </w:r>
      <w:r w:rsidRPr="009B25DB">
        <w:rPr>
          <w:rFonts w:asciiTheme="minorHAnsi" w:hAnsiTheme="minorHAnsi" w:cs="Courier New"/>
          <w:sz w:val="22"/>
          <w:szCs w:val="22"/>
        </w:rPr>
        <w:t xml:space="preserve">describes the status of BITs between </w:t>
      </w:r>
      <w:r>
        <w:rPr>
          <w:rFonts w:asciiTheme="minorHAnsi" w:hAnsiTheme="minorHAnsi" w:cs="Courier New"/>
          <w:i/>
          <w:sz w:val="22"/>
          <w:szCs w:val="22"/>
        </w:rPr>
        <w:t>i</w:t>
      </w:r>
      <w:r w:rsidRPr="009B25DB">
        <w:rPr>
          <w:rFonts w:asciiTheme="minorHAnsi" w:hAnsiTheme="minorHAnsi" w:cs="Courier New"/>
          <w:sz w:val="22"/>
          <w:szCs w:val="22"/>
        </w:rPr>
        <w:t xml:space="preserve"> and</w:t>
      </w:r>
      <w:r>
        <w:rPr>
          <w:rFonts w:asciiTheme="minorHAnsi" w:hAnsiTheme="minorHAnsi" w:cs="Courier New"/>
          <w:sz w:val="22"/>
          <w:szCs w:val="22"/>
        </w:rPr>
        <w:t xml:space="preserve"> </w:t>
      </w:r>
      <w:r>
        <w:rPr>
          <w:rFonts w:asciiTheme="minorHAnsi" w:hAnsiTheme="minorHAnsi" w:cs="Courier New"/>
          <w:i/>
          <w:sz w:val="22"/>
          <w:szCs w:val="22"/>
        </w:rPr>
        <w:t>j</w:t>
      </w:r>
      <w:r w:rsidRPr="009B25DB">
        <w:rPr>
          <w:rFonts w:asciiTheme="minorHAnsi" w:hAnsiTheme="minorHAnsi" w:cs="Courier New"/>
          <w:sz w:val="22"/>
          <w:szCs w:val="22"/>
        </w:rPr>
        <w:t xml:space="preserve">; </w:t>
      </w:r>
      <m:oMath>
        <m:sSub>
          <m:sSubPr>
            <m:ctrlPr>
              <w:rPr>
                <w:rFonts w:ascii="Cambria Math" w:hAnsi="Cambria Math" w:cs="Courier New"/>
                <w:i/>
                <w:sz w:val="22"/>
                <w:szCs w:val="22"/>
              </w:rPr>
            </m:ctrlPr>
          </m:sSubPr>
          <m:e>
            <m:r>
              <w:rPr>
                <w:rFonts w:ascii="Cambria Math" w:hAnsi="Cambria Math" w:cs="Courier New"/>
                <w:sz w:val="22"/>
                <w:szCs w:val="22"/>
              </w:rPr>
              <m:t>BIT</m:t>
            </m:r>
          </m:e>
          <m:sub>
            <m:r>
              <w:rPr>
                <w:rFonts w:ascii="Cambria Math" w:hAnsi="Cambria Math" w:cs="Courier New"/>
                <w:sz w:val="22"/>
                <w:szCs w:val="22"/>
              </w:rPr>
              <m:t>ijt</m:t>
            </m:r>
          </m:sub>
        </m:sSub>
      </m:oMath>
      <w:r w:rsidRPr="009B25DB">
        <w:rPr>
          <w:rFonts w:asciiTheme="minorHAnsi" w:hAnsiTheme="minorHAnsi" w:cs="Courier New"/>
          <w:sz w:val="22"/>
          <w:szCs w:val="22"/>
        </w:rPr>
        <w:t xml:space="preserve"> is a dummy active when a BIT is in </w:t>
      </w:r>
      <w:r>
        <w:rPr>
          <w:rFonts w:asciiTheme="minorHAnsi" w:hAnsiTheme="minorHAnsi" w:cs="Courier New"/>
          <w:sz w:val="22"/>
          <w:szCs w:val="22"/>
        </w:rPr>
        <w:t>place</w:t>
      </w:r>
      <w:r w:rsidRPr="009B25DB">
        <w:rPr>
          <w:rFonts w:asciiTheme="minorHAnsi" w:hAnsiTheme="minorHAnsi" w:cs="Courier New"/>
          <w:sz w:val="22"/>
          <w:szCs w:val="22"/>
        </w:rPr>
        <w:t xml:space="preserve"> at time </w:t>
      </w:r>
      <w:r>
        <w:rPr>
          <w:rFonts w:asciiTheme="minorHAnsi" w:hAnsiTheme="minorHAnsi" w:cs="Courier New"/>
          <w:i/>
          <w:sz w:val="22"/>
          <w:szCs w:val="22"/>
        </w:rPr>
        <w:t>t</w:t>
      </w:r>
      <w:r>
        <w:rPr>
          <w:rFonts w:asciiTheme="minorHAnsi" w:hAnsiTheme="minorHAnsi" w:cs="Courier New"/>
          <w:sz w:val="22"/>
          <w:szCs w:val="22"/>
        </w:rPr>
        <w:t xml:space="preserve">. One striking fact observed in Table </w:t>
      </w:r>
      <w:r w:rsidR="005F2B54">
        <w:rPr>
          <w:rFonts w:asciiTheme="minorHAnsi" w:hAnsiTheme="minorHAnsi" w:cs="Courier New"/>
          <w:sz w:val="22"/>
          <w:szCs w:val="22"/>
        </w:rPr>
        <w:t>1</w:t>
      </w:r>
      <w:r>
        <w:rPr>
          <w:rFonts w:asciiTheme="minorHAnsi" w:hAnsiTheme="minorHAnsi" w:cs="Courier New"/>
          <w:sz w:val="22"/>
          <w:szCs w:val="22"/>
        </w:rPr>
        <w:t xml:space="preserve"> is the proportion of treaties that include ISDS measures of various types, so leaving it with a dummy for having a BIT alone is insufficient. The first provision is pre-consent to ISDS,</w:t>
      </w:r>
      <w:r w:rsidRPr="009B25DB">
        <w:rPr>
          <w:rFonts w:asciiTheme="minorHAnsi" w:hAnsiTheme="minorHAnsi" w:cs="Courier New"/>
          <w:sz w:val="22"/>
          <w:szCs w:val="22"/>
        </w:rPr>
        <w:t xml:space="preserve"> </w:t>
      </w:r>
      <m:oMath>
        <m:sSub>
          <m:sSubPr>
            <m:ctrlPr>
              <w:rPr>
                <w:rFonts w:ascii="Cambria Math" w:hAnsi="Cambria Math" w:cs="Courier New"/>
                <w:i/>
                <w:sz w:val="22"/>
                <w:szCs w:val="22"/>
              </w:rPr>
            </m:ctrlPr>
          </m:sSubPr>
          <m:e>
            <m:r>
              <w:rPr>
                <w:rFonts w:ascii="Cambria Math" w:hAnsi="Cambria Math" w:cs="Courier New"/>
                <w:sz w:val="22"/>
                <w:szCs w:val="22"/>
              </w:rPr>
              <m:t>Pre</m:t>
            </m:r>
          </m:e>
          <m:sub>
            <m:r>
              <w:rPr>
                <w:rFonts w:ascii="Cambria Math" w:hAnsi="Cambria Math" w:cs="Courier New"/>
                <w:sz w:val="22"/>
                <w:szCs w:val="22"/>
              </w:rPr>
              <m:t>ijt</m:t>
            </m:r>
          </m:sub>
        </m:sSub>
      </m:oMath>
      <w:r>
        <w:rPr>
          <w:rFonts w:asciiTheme="minorHAnsi" w:eastAsiaTheme="minorEastAsia" w:hAnsiTheme="minorHAnsi" w:cs="Courier New"/>
          <w:sz w:val="22"/>
          <w:szCs w:val="22"/>
        </w:rPr>
        <w:t>:</w:t>
      </w:r>
      <w:r w:rsidRPr="009B25DB">
        <w:rPr>
          <w:rFonts w:asciiTheme="minorHAnsi" w:hAnsiTheme="minorHAnsi" w:cs="Courier New"/>
          <w:sz w:val="22"/>
          <w:szCs w:val="22"/>
        </w:rPr>
        <w:t xml:space="preserve"> </w:t>
      </w:r>
      <w:r>
        <w:rPr>
          <w:rFonts w:asciiTheme="minorHAnsi" w:hAnsiTheme="minorHAnsi" w:cs="Courier New"/>
          <w:sz w:val="22"/>
          <w:szCs w:val="22"/>
        </w:rPr>
        <w:t>this var</w:t>
      </w:r>
      <w:r>
        <w:rPr>
          <w:rFonts w:asciiTheme="minorHAnsi" w:hAnsiTheme="minorHAnsi" w:cs="Courier New"/>
          <w:sz w:val="22"/>
          <w:szCs w:val="22"/>
        </w:rPr>
        <w:t>i</w:t>
      </w:r>
      <w:r>
        <w:rPr>
          <w:rFonts w:asciiTheme="minorHAnsi" w:hAnsiTheme="minorHAnsi" w:cs="Courier New"/>
          <w:sz w:val="22"/>
          <w:szCs w:val="22"/>
        </w:rPr>
        <w:t xml:space="preserve">able is equal to one if foreign investors can unilaterally access third party tribunals, such as the ICSID, without consulting local courts first. While additional stipulations are present in some of these treaties, such as restrictions on investors to pursue both local remedies and ISDS simultaneously, these are not taken into consideration. </w:t>
      </w:r>
      <w:r w:rsidRPr="009B25DB">
        <w:rPr>
          <w:rFonts w:asciiTheme="minorHAnsi" w:hAnsiTheme="minorHAnsi" w:cs="Courier New"/>
          <w:sz w:val="22"/>
          <w:szCs w:val="22"/>
        </w:rPr>
        <w:t xml:space="preserve">Due to limitations from the sample size, BITs with ISDS provisions that do not involve pre-consent are kept in the control group with BITs that do not have any ISDS; </w:t>
      </w:r>
      <w:r>
        <w:rPr>
          <w:rFonts w:asciiTheme="minorHAnsi" w:hAnsiTheme="minorHAnsi" w:cs="Courier New"/>
          <w:sz w:val="22"/>
          <w:szCs w:val="22"/>
        </w:rPr>
        <w:t>while this is co</w:t>
      </w:r>
      <w:r>
        <w:rPr>
          <w:rFonts w:asciiTheme="minorHAnsi" w:hAnsiTheme="minorHAnsi" w:cs="Courier New"/>
          <w:sz w:val="22"/>
          <w:szCs w:val="22"/>
        </w:rPr>
        <w:t>n</w:t>
      </w:r>
      <w:r>
        <w:rPr>
          <w:rFonts w:asciiTheme="minorHAnsi" w:hAnsiTheme="minorHAnsi" w:cs="Courier New"/>
          <w:sz w:val="22"/>
          <w:szCs w:val="22"/>
        </w:rPr>
        <w:t xml:space="preserve">sistent with previous literature, </w:t>
      </w:r>
      <w:r w:rsidRPr="009B25DB">
        <w:rPr>
          <w:rFonts w:asciiTheme="minorHAnsi" w:hAnsiTheme="minorHAnsi" w:cs="Courier New"/>
          <w:sz w:val="22"/>
          <w:szCs w:val="22"/>
        </w:rPr>
        <w:t>this will be addressed later, although the distinct</w:t>
      </w:r>
      <w:r>
        <w:rPr>
          <w:rFonts w:asciiTheme="minorHAnsi" w:hAnsiTheme="minorHAnsi" w:cs="Courier New"/>
          <w:sz w:val="22"/>
          <w:szCs w:val="22"/>
        </w:rPr>
        <w:t>ion does not impact the results.</w:t>
      </w:r>
    </w:p>
    <w:p w:rsidR="00AE181D" w:rsidRDefault="00AE181D" w:rsidP="00AE181D">
      <w:pPr>
        <w:pStyle w:val="PlainText"/>
        <w:spacing w:after="120" w:line="360" w:lineRule="auto"/>
        <w:jc w:val="both"/>
        <w:rPr>
          <w:rFonts w:asciiTheme="minorHAnsi" w:hAnsiTheme="minorHAnsi" w:cs="Courier New"/>
          <w:sz w:val="22"/>
          <w:szCs w:val="22"/>
        </w:rPr>
      </w:pPr>
      <w:r>
        <w:rPr>
          <w:rFonts w:asciiTheme="minorHAnsi" w:hAnsiTheme="minorHAnsi" w:cs="Courier New"/>
          <w:sz w:val="22"/>
          <w:szCs w:val="22"/>
        </w:rPr>
        <w:lastRenderedPageBreak/>
        <w:t xml:space="preserve">Second, the ability for the sovereign to unilaterally provide interpretation of the treaty terms to the third party tribunal is taken into account with the dummy variable </w:t>
      </w:r>
      <m:oMath>
        <m:sSub>
          <m:sSubPr>
            <m:ctrlPr>
              <w:rPr>
                <w:rFonts w:ascii="Cambria Math" w:hAnsi="Cambria Math" w:cs="Courier New"/>
                <w:i/>
                <w:sz w:val="22"/>
                <w:szCs w:val="22"/>
              </w:rPr>
            </m:ctrlPr>
          </m:sSubPr>
          <m:e>
            <m:r>
              <w:rPr>
                <w:rFonts w:ascii="Cambria Math" w:hAnsi="Cambria Math" w:cs="Courier New"/>
                <w:sz w:val="22"/>
                <w:szCs w:val="22"/>
              </w:rPr>
              <m:t>Bin</m:t>
            </m:r>
          </m:e>
          <m:sub>
            <m:r>
              <w:rPr>
                <w:rFonts w:ascii="Cambria Math" w:hAnsi="Cambria Math" w:cs="Courier New"/>
                <w:sz w:val="22"/>
                <w:szCs w:val="22"/>
              </w:rPr>
              <m:t>ijt</m:t>
            </m:r>
          </m:sub>
        </m:sSub>
      </m:oMath>
      <w:r>
        <w:rPr>
          <w:rFonts w:asciiTheme="minorHAnsi" w:hAnsiTheme="minorHAnsi" w:cs="Courier New"/>
          <w:sz w:val="22"/>
          <w:szCs w:val="22"/>
        </w:rPr>
        <w:t>. When equal to one, it ind</w:t>
      </w:r>
      <w:r>
        <w:rPr>
          <w:rFonts w:asciiTheme="minorHAnsi" w:hAnsiTheme="minorHAnsi" w:cs="Courier New"/>
          <w:sz w:val="22"/>
          <w:szCs w:val="22"/>
        </w:rPr>
        <w:t>i</w:t>
      </w:r>
      <w:r>
        <w:rPr>
          <w:rFonts w:asciiTheme="minorHAnsi" w:hAnsiTheme="minorHAnsi" w:cs="Courier New"/>
          <w:sz w:val="22"/>
          <w:szCs w:val="22"/>
        </w:rPr>
        <w:t>cates that the sovereign is unable to influence the treaty’s interpretation alone; this task will either be assumed by the third party tribunal or with representatives from the treaty’s contracting parties.</w:t>
      </w:r>
    </w:p>
    <w:p w:rsidR="00AE181D" w:rsidRPr="009B25DB" w:rsidRDefault="00AE181D" w:rsidP="00AE181D">
      <w:pPr>
        <w:pStyle w:val="PlainText"/>
        <w:spacing w:after="120" w:line="360" w:lineRule="auto"/>
        <w:jc w:val="both"/>
        <w:rPr>
          <w:rFonts w:asciiTheme="minorHAnsi" w:hAnsiTheme="minorHAnsi" w:cs="Courier New"/>
          <w:sz w:val="22"/>
          <w:szCs w:val="22"/>
        </w:rPr>
      </w:pPr>
      <w:r>
        <w:rPr>
          <w:rFonts w:asciiTheme="minorHAnsi" w:hAnsiTheme="minorHAnsi" w:cs="Courier New"/>
          <w:sz w:val="22"/>
          <w:szCs w:val="22"/>
        </w:rPr>
        <w:t xml:space="preserve">Third, the scope of the ISDS is included in the dummy variable </w:t>
      </w:r>
      <m:oMath>
        <m:sSub>
          <m:sSubPr>
            <m:ctrlPr>
              <w:rPr>
                <w:rFonts w:ascii="Cambria Math" w:hAnsi="Cambria Math" w:cs="Courier New"/>
                <w:i/>
                <w:sz w:val="22"/>
                <w:szCs w:val="22"/>
              </w:rPr>
            </m:ctrlPr>
          </m:sSubPr>
          <m:e>
            <m:r>
              <w:rPr>
                <w:rFonts w:ascii="Cambria Math" w:hAnsi="Cambria Math" w:cs="Courier New"/>
                <w:sz w:val="22"/>
                <w:szCs w:val="22"/>
              </w:rPr>
              <m:t>Unre</m:t>
            </m:r>
          </m:e>
          <m:sub>
            <m:r>
              <w:rPr>
                <w:rFonts w:ascii="Cambria Math" w:hAnsi="Cambria Math" w:cs="Courier New"/>
                <w:sz w:val="22"/>
                <w:szCs w:val="22"/>
              </w:rPr>
              <m:t>ijt</m:t>
            </m:r>
          </m:sub>
        </m:sSub>
      </m:oMath>
      <w:r>
        <w:rPr>
          <w:rFonts w:asciiTheme="minorHAnsi" w:hAnsiTheme="minorHAnsi" w:cs="Courier New"/>
          <w:sz w:val="22"/>
          <w:szCs w:val="22"/>
        </w:rPr>
        <w:t>: when equal to one, ISDS is deemed to be available for any investment claim. In contrast, when it is zero the investor can only e</w:t>
      </w:r>
      <w:r>
        <w:rPr>
          <w:rFonts w:asciiTheme="minorHAnsi" w:hAnsiTheme="minorHAnsi" w:cs="Courier New"/>
          <w:sz w:val="22"/>
          <w:szCs w:val="22"/>
        </w:rPr>
        <w:t>n</w:t>
      </w:r>
      <w:r>
        <w:rPr>
          <w:rFonts w:asciiTheme="minorHAnsi" w:hAnsiTheme="minorHAnsi" w:cs="Courier New"/>
          <w:sz w:val="22"/>
          <w:szCs w:val="22"/>
        </w:rPr>
        <w:t>act ISDS for breaches to the terms of the treaty alone. Treaties that include some flexibility in this r</w:t>
      </w:r>
      <w:r>
        <w:rPr>
          <w:rFonts w:asciiTheme="minorHAnsi" w:hAnsiTheme="minorHAnsi" w:cs="Courier New"/>
          <w:sz w:val="22"/>
          <w:szCs w:val="22"/>
        </w:rPr>
        <w:t>e</w:t>
      </w:r>
      <w:r>
        <w:rPr>
          <w:rFonts w:asciiTheme="minorHAnsi" w:hAnsiTheme="minorHAnsi" w:cs="Courier New"/>
          <w:sz w:val="22"/>
          <w:szCs w:val="22"/>
        </w:rPr>
        <w:t>spect, for example by introducing certain exceptions to the scope of ISDS, are categorized as limiting the scope of ISDS, and therefore have the dummy equal to zero</w:t>
      </w:r>
      <w:r w:rsidRPr="009B25DB">
        <w:rPr>
          <w:rFonts w:asciiTheme="minorHAnsi" w:hAnsiTheme="minorHAnsi" w:cs="Courier New"/>
          <w:sz w:val="22"/>
          <w:szCs w:val="22"/>
        </w:rPr>
        <w:t xml:space="preserve">. </w:t>
      </w:r>
      <w:r>
        <w:rPr>
          <w:rFonts w:asciiTheme="minorHAnsi" w:hAnsiTheme="minorHAnsi" w:cs="Courier New"/>
          <w:sz w:val="22"/>
          <w:szCs w:val="22"/>
        </w:rPr>
        <w:t xml:space="preserve">This variable is interacted with </w:t>
      </w:r>
      <m:oMath>
        <m:sSub>
          <m:sSubPr>
            <m:ctrlPr>
              <w:rPr>
                <w:rFonts w:ascii="Cambria Math" w:hAnsi="Cambria Math" w:cs="Courier New"/>
                <w:i/>
                <w:sz w:val="22"/>
                <w:szCs w:val="22"/>
              </w:rPr>
            </m:ctrlPr>
          </m:sSubPr>
          <m:e>
            <m:r>
              <w:rPr>
                <w:rFonts w:ascii="Cambria Math" w:hAnsi="Cambria Math" w:cs="Courier New"/>
                <w:sz w:val="22"/>
                <w:szCs w:val="22"/>
              </w:rPr>
              <m:t>Bin</m:t>
            </m:r>
          </m:e>
          <m:sub>
            <m:r>
              <w:rPr>
                <w:rFonts w:ascii="Cambria Math" w:hAnsi="Cambria Math" w:cs="Courier New"/>
                <w:sz w:val="22"/>
                <w:szCs w:val="22"/>
              </w:rPr>
              <m:t>ijt</m:t>
            </m:r>
          </m:sub>
        </m:sSub>
      </m:oMath>
      <w:r>
        <w:rPr>
          <w:rFonts w:asciiTheme="minorHAnsi" w:eastAsiaTheme="minorEastAsia" w:hAnsiTheme="minorHAnsi" w:cs="Courier New"/>
          <w:sz w:val="22"/>
          <w:szCs w:val="22"/>
        </w:rPr>
        <w:t xml:space="preserve">, under </w:t>
      </w:r>
      <m:oMath>
        <m:r>
          <w:rPr>
            <w:rFonts w:ascii="Cambria Math" w:hAnsi="Cambria Math" w:cs="Courier New"/>
            <w:sz w:val="22"/>
            <w:szCs w:val="22"/>
          </w:rPr>
          <m:t>(</m:t>
        </m:r>
        <m:sSub>
          <m:sSubPr>
            <m:ctrlPr>
              <w:rPr>
                <w:rFonts w:ascii="Cambria Math" w:hAnsi="Cambria Math" w:cs="Courier New"/>
                <w:i/>
                <w:sz w:val="22"/>
                <w:szCs w:val="22"/>
              </w:rPr>
            </m:ctrlPr>
          </m:sSubPr>
          <m:e>
            <m:r>
              <w:rPr>
                <w:rFonts w:ascii="Cambria Math" w:hAnsi="Cambria Math" w:cs="Courier New"/>
                <w:sz w:val="22"/>
                <w:szCs w:val="22"/>
              </w:rPr>
              <m:t>Bin</m:t>
            </m:r>
          </m:e>
          <m:sub>
            <m:r>
              <w:rPr>
                <w:rFonts w:ascii="Cambria Math" w:hAnsi="Cambria Math" w:cs="Courier New"/>
                <w:sz w:val="22"/>
                <w:szCs w:val="22"/>
              </w:rPr>
              <m:t>ijt</m:t>
            </m:r>
          </m:sub>
        </m:sSub>
        <m:r>
          <w:rPr>
            <w:rFonts w:ascii="Cambria Math" w:hAnsi="Cambria Math" w:cs="Courier New"/>
            <w:sz w:val="22"/>
            <w:szCs w:val="22"/>
          </w:rPr>
          <m:t>*</m:t>
        </m:r>
        <m:sSub>
          <m:sSubPr>
            <m:ctrlPr>
              <w:rPr>
                <w:rFonts w:ascii="Cambria Math" w:hAnsi="Cambria Math" w:cs="Courier New"/>
                <w:i/>
                <w:sz w:val="22"/>
                <w:szCs w:val="22"/>
              </w:rPr>
            </m:ctrlPr>
          </m:sSubPr>
          <m:e>
            <m:r>
              <w:rPr>
                <w:rFonts w:ascii="Cambria Math" w:hAnsi="Cambria Math" w:cs="Courier New"/>
                <w:sz w:val="22"/>
                <w:szCs w:val="22"/>
              </w:rPr>
              <m:t>Unre</m:t>
            </m:r>
          </m:e>
          <m:sub>
            <m:r>
              <w:rPr>
                <w:rFonts w:ascii="Cambria Math" w:hAnsi="Cambria Math" w:cs="Courier New"/>
                <w:sz w:val="22"/>
                <w:szCs w:val="22"/>
              </w:rPr>
              <m:t>ijt</m:t>
            </m:r>
          </m:sub>
        </m:sSub>
        <m:r>
          <w:rPr>
            <w:rFonts w:ascii="Cambria Math" w:hAnsi="Cambria Math" w:cs="Courier New"/>
            <w:sz w:val="22"/>
            <w:szCs w:val="22"/>
          </w:rPr>
          <m:t>)</m:t>
        </m:r>
      </m:oMath>
      <w:r>
        <w:rPr>
          <w:rFonts w:asciiTheme="minorHAnsi" w:eastAsiaTheme="minorEastAsia" w:hAnsiTheme="minorHAnsi" w:cs="Courier New"/>
          <w:sz w:val="22"/>
          <w:szCs w:val="22"/>
        </w:rPr>
        <w:t>, in order to understand the potency of a treaty that offers both binding inte</w:t>
      </w:r>
      <w:r>
        <w:rPr>
          <w:rFonts w:asciiTheme="minorHAnsi" w:eastAsiaTheme="minorEastAsia" w:hAnsiTheme="minorHAnsi" w:cs="Courier New"/>
          <w:sz w:val="22"/>
          <w:szCs w:val="22"/>
        </w:rPr>
        <w:t>r</w:t>
      </w:r>
      <w:r>
        <w:rPr>
          <w:rFonts w:asciiTheme="minorHAnsi" w:eastAsiaTheme="minorEastAsia" w:hAnsiTheme="minorHAnsi" w:cs="Courier New"/>
          <w:sz w:val="22"/>
          <w:szCs w:val="22"/>
        </w:rPr>
        <w:t xml:space="preserve">pretation of its rules and unrestricted coverage of claims. </w:t>
      </w:r>
      <w:r w:rsidRPr="009B25DB">
        <w:rPr>
          <w:rFonts w:asciiTheme="minorHAnsi" w:hAnsiTheme="minorHAnsi" w:cs="Courier New"/>
          <w:sz w:val="22"/>
          <w:szCs w:val="22"/>
        </w:rPr>
        <w:t>To be clear, no observation will have du</w:t>
      </w:r>
      <w:r w:rsidRPr="009B25DB">
        <w:rPr>
          <w:rFonts w:asciiTheme="minorHAnsi" w:hAnsiTheme="minorHAnsi" w:cs="Courier New"/>
          <w:sz w:val="22"/>
          <w:szCs w:val="22"/>
        </w:rPr>
        <w:t>m</w:t>
      </w:r>
      <w:r w:rsidRPr="009B25DB">
        <w:rPr>
          <w:rFonts w:asciiTheme="minorHAnsi" w:hAnsiTheme="minorHAnsi" w:cs="Courier New"/>
          <w:sz w:val="22"/>
          <w:szCs w:val="22"/>
        </w:rPr>
        <w:t xml:space="preserve">mies </w:t>
      </w:r>
      <m:oMath>
        <m:sSub>
          <m:sSubPr>
            <m:ctrlPr>
              <w:rPr>
                <w:rFonts w:ascii="Cambria Math" w:hAnsi="Cambria Math" w:cs="Courier New"/>
                <w:i/>
                <w:sz w:val="22"/>
                <w:szCs w:val="22"/>
              </w:rPr>
            </m:ctrlPr>
          </m:sSubPr>
          <m:e>
            <m:r>
              <w:rPr>
                <w:rFonts w:ascii="Cambria Math" w:hAnsi="Cambria Math" w:cs="Courier New"/>
                <w:sz w:val="22"/>
                <w:szCs w:val="22"/>
              </w:rPr>
              <m:t>Bin</m:t>
            </m:r>
          </m:e>
          <m:sub>
            <m:r>
              <w:rPr>
                <w:rFonts w:ascii="Cambria Math" w:hAnsi="Cambria Math" w:cs="Courier New"/>
                <w:sz w:val="22"/>
                <w:szCs w:val="22"/>
              </w:rPr>
              <m:t>ijt</m:t>
            </m:r>
          </m:sub>
        </m:sSub>
      </m:oMath>
      <w:r w:rsidRPr="009B25DB">
        <w:rPr>
          <w:rFonts w:asciiTheme="minorHAnsi" w:hAnsiTheme="minorHAnsi" w:cs="Courier New"/>
          <w:sz w:val="22"/>
          <w:szCs w:val="22"/>
        </w:rPr>
        <w:t xml:space="preserve"> and/or </w:t>
      </w:r>
      <m:oMath>
        <m:sSub>
          <m:sSubPr>
            <m:ctrlPr>
              <w:rPr>
                <w:rFonts w:ascii="Cambria Math" w:hAnsi="Cambria Math" w:cs="Courier New"/>
                <w:i/>
                <w:sz w:val="22"/>
                <w:szCs w:val="22"/>
              </w:rPr>
            </m:ctrlPr>
          </m:sSubPr>
          <m:e>
            <m:r>
              <w:rPr>
                <w:rFonts w:ascii="Cambria Math" w:hAnsi="Cambria Math" w:cs="Courier New"/>
                <w:sz w:val="22"/>
                <w:szCs w:val="22"/>
              </w:rPr>
              <m:t>Unre</m:t>
            </m:r>
          </m:e>
          <m:sub>
            <m:r>
              <w:rPr>
                <w:rFonts w:ascii="Cambria Math" w:hAnsi="Cambria Math" w:cs="Courier New"/>
                <w:sz w:val="22"/>
                <w:szCs w:val="22"/>
              </w:rPr>
              <m:t>ijt</m:t>
            </m:r>
          </m:sub>
        </m:sSub>
      </m:oMath>
      <w:r w:rsidRPr="009B25DB">
        <w:rPr>
          <w:rFonts w:asciiTheme="minorHAnsi" w:hAnsiTheme="minorHAnsi" w:cs="Courier New"/>
          <w:sz w:val="22"/>
          <w:szCs w:val="22"/>
        </w:rPr>
        <w:t xml:space="preserve">active unless </w:t>
      </w:r>
      <m:oMath>
        <m:sSub>
          <m:sSubPr>
            <m:ctrlPr>
              <w:rPr>
                <w:rFonts w:ascii="Cambria Math" w:hAnsi="Cambria Math" w:cs="Courier New"/>
                <w:i/>
                <w:sz w:val="22"/>
                <w:szCs w:val="22"/>
              </w:rPr>
            </m:ctrlPr>
          </m:sSubPr>
          <m:e>
            <m:r>
              <w:rPr>
                <w:rFonts w:ascii="Cambria Math" w:hAnsi="Cambria Math" w:cs="Courier New"/>
                <w:sz w:val="22"/>
                <w:szCs w:val="22"/>
              </w:rPr>
              <m:t>Pre</m:t>
            </m:r>
          </m:e>
          <m:sub>
            <m:r>
              <w:rPr>
                <w:rFonts w:ascii="Cambria Math" w:hAnsi="Cambria Math" w:cs="Courier New"/>
                <w:sz w:val="22"/>
                <w:szCs w:val="22"/>
              </w:rPr>
              <m:t>ijt</m:t>
            </m:r>
          </m:sub>
        </m:sSub>
      </m:oMath>
      <w:r w:rsidRPr="009B25DB">
        <w:rPr>
          <w:rFonts w:asciiTheme="minorHAnsi" w:hAnsiTheme="minorHAnsi" w:cs="Courier New"/>
          <w:sz w:val="22"/>
          <w:szCs w:val="22"/>
        </w:rPr>
        <w:t xml:space="preserve"> is active as well. </w:t>
      </w:r>
    </w:p>
    <w:p w:rsidR="00AE181D" w:rsidRPr="009B25DB" w:rsidRDefault="00AE181D" w:rsidP="00AE181D">
      <w:pPr>
        <w:pStyle w:val="PlainText"/>
        <w:spacing w:after="120" w:line="360" w:lineRule="auto"/>
        <w:jc w:val="both"/>
        <w:rPr>
          <w:rFonts w:asciiTheme="minorHAnsi" w:hAnsiTheme="minorHAnsi" w:cs="Courier New"/>
          <w:sz w:val="22"/>
          <w:szCs w:val="22"/>
        </w:rPr>
      </w:pPr>
      <w:r w:rsidRPr="009B25DB">
        <w:rPr>
          <w:rFonts w:asciiTheme="minorHAnsi" w:hAnsiTheme="minorHAnsi" w:cs="Courier New"/>
          <w:sz w:val="22"/>
          <w:szCs w:val="22"/>
        </w:rPr>
        <w:t>Furthermore, gravity enters the model in the form of the logs of real GDP in bot</w:t>
      </w:r>
      <w:r>
        <w:rPr>
          <w:rFonts w:asciiTheme="minorHAnsi" w:hAnsiTheme="minorHAnsi" w:cs="Courier New"/>
          <w:sz w:val="22"/>
          <w:szCs w:val="22"/>
        </w:rPr>
        <w:t>h the host and source economies,</w:t>
      </w:r>
      <w:r w:rsidRPr="009B25DB">
        <w:rPr>
          <w:rFonts w:asciiTheme="minorHAnsi" w:hAnsiTheme="minorHAnsi" w:cs="Courier New"/>
          <w:sz w:val="22"/>
          <w:szCs w:val="22"/>
        </w:rPr>
        <w:t xml:space="preserve"> </w:t>
      </w:r>
      <m:oMath>
        <m:func>
          <m:funcPr>
            <m:ctrlPr>
              <w:rPr>
                <w:rFonts w:ascii="Cambria Math" w:hAnsi="Cambria Math" w:cs="Courier New"/>
                <w:sz w:val="22"/>
                <w:szCs w:val="22"/>
              </w:rPr>
            </m:ctrlPr>
          </m:funcPr>
          <m:fName>
            <m:r>
              <m:rPr>
                <m:sty m:val="p"/>
              </m:rPr>
              <w:rPr>
                <w:rFonts w:ascii="Cambria Math" w:hAnsi="Cambria Math" w:cs="Courier New"/>
                <w:sz w:val="22"/>
                <w:szCs w:val="22"/>
              </w:rPr>
              <m:t>ln</m:t>
            </m:r>
          </m:fName>
          <m:e>
            <m:d>
              <m:dPr>
                <m:ctrlPr>
                  <w:rPr>
                    <w:rFonts w:ascii="Cambria Math" w:hAnsi="Cambria Math" w:cs="Courier New"/>
                    <w:i/>
                    <w:sz w:val="22"/>
                    <w:szCs w:val="22"/>
                  </w:rPr>
                </m:ctrlPr>
              </m:dPr>
              <m:e>
                <m:sSub>
                  <m:sSubPr>
                    <m:ctrlPr>
                      <w:rPr>
                        <w:rFonts w:ascii="Cambria Math" w:hAnsi="Cambria Math" w:cs="Courier New"/>
                        <w:i/>
                        <w:sz w:val="22"/>
                        <w:szCs w:val="22"/>
                      </w:rPr>
                    </m:ctrlPr>
                  </m:sSubPr>
                  <m:e>
                    <m:r>
                      <w:rPr>
                        <w:rFonts w:ascii="Cambria Math" w:hAnsi="Cambria Math" w:cs="Courier New"/>
                        <w:sz w:val="22"/>
                        <w:szCs w:val="22"/>
                      </w:rPr>
                      <m:t>GDP</m:t>
                    </m:r>
                  </m:e>
                  <m:sub>
                    <m:r>
                      <w:rPr>
                        <w:rFonts w:ascii="Cambria Math" w:hAnsi="Cambria Math" w:cs="Courier New"/>
                        <w:sz w:val="22"/>
                        <w:szCs w:val="22"/>
                      </w:rPr>
                      <m:t>it</m:t>
                    </m:r>
                  </m:sub>
                </m:sSub>
              </m:e>
            </m:d>
          </m:e>
        </m:func>
      </m:oMath>
      <w:r w:rsidRPr="009B25DB">
        <w:rPr>
          <w:rFonts w:asciiTheme="minorHAnsi" w:hAnsiTheme="minorHAnsi" w:cs="Courier New"/>
          <w:sz w:val="22"/>
          <w:szCs w:val="22"/>
        </w:rPr>
        <w:t xml:space="preserve"> and</w:t>
      </w:r>
      <w:r>
        <w:rPr>
          <w:rFonts w:asciiTheme="minorHAnsi" w:hAnsiTheme="minorHAnsi" w:cs="Courier New"/>
          <w:sz w:val="22"/>
          <w:szCs w:val="22"/>
        </w:rPr>
        <w:t xml:space="preserve"> </w:t>
      </w:r>
      <m:oMath>
        <m:func>
          <m:funcPr>
            <m:ctrlPr>
              <w:rPr>
                <w:rFonts w:ascii="Cambria Math" w:hAnsi="Cambria Math" w:cs="Courier New"/>
                <w:sz w:val="22"/>
                <w:szCs w:val="22"/>
              </w:rPr>
            </m:ctrlPr>
          </m:funcPr>
          <m:fName>
            <m:r>
              <m:rPr>
                <m:sty m:val="p"/>
              </m:rPr>
              <w:rPr>
                <w:rFonts w:ascii="Cambria Math" w:hAnsi="Cambria Math" w:cs="Courier New"/>
                <w:sz w:val="22"/>
                <w:szCs w:val="22"/>
              </w:rPr>
              <m:t>ln</m:t>
            </m:r>
          </m:fName>
          <m:e>
            <m:d>
              <m:dPr>
                <m:ctrlPr>
                  <w:rPr>
                    <w:rFonts w:ascii="Cambria Math" w:hAnsi="Cambria Math" w:cs="Courier New"/>
                    <w:i/>
                    <w:sz w:val="22"/>
                    <w:szCs w:val="22"/>
                  </w:rPr>
                </m:ctrlPr>
              </m:dPr>
              <m:e>
                <m:sSub>
                  <m:sSubPr>
                    <m:ctrlPr>
                      <w:rPr>
                        <w:rFonts w:ascii="Cambria Math" w:hAnsi="Cambria Math" w:cs="Courier New"/>
                        <w:i/>
                        <w:sz w:val="22"/>
                        <w:szCs w:val="22"/>
                      </w:rPr>
                    </m:ctrlPr>
                  </m:sSubPr>
                  <m:e>
                    <m:r>
                      <w:rPr>
                        <w:rFonts w:ascii="Cambria Math" w:hAnsi="Cambria Math" w:cs="Courier New"/>
                        <w:sz w:val="22"/>
                        <w:szCs w:val="22"/>
                      </w:rPr>
                      <m:t>GDP</m:t>
                    </m:r>
                  </m:e>
                  <m:sub>
                    <m:r>
                      <w:rPr>
                        <w:rFonts w:ascii="Cambria Math" w:hAnsi="Cambria Math" w:cs="Courier New"/>
                        <w:sz w:val="22"/>
                        <w:szCs w:val="22"/>
                      </w:rPr>
                      <m:t>jt</m:t>
                    </m:r>
                  </m:sub>
                </m:sSub>
              </m:e>
            </m:d>
          </m:e>
        </m:func>
      </m:oMath>
      <w:r>
        <w:rPr>
          <w:rFonts w:asciiTheme="minorHAnsi" w:eastAsiaTheme="minorEastAsia" w:hAnsiTheme="minorHAnsi" w:cs="Courier New"/>
          <w:sz w:val="22"/>
          <w:szCs w:val="22"/>
        </w:rPr>
        <w:t>, respectively</w:t>
      </w:r>
      <w:r w:rsidRPr="009B25DB">
        <w:rPr>
          <w:rFonts w:asciiTheme="minorHAnsi" w:hAnsiTheme="minorHAnsi" w:cs="Courier New"/>
          <w:sz w:val="22"/>
          <w:szCs w:val="22"/>
        </w:rPr>
        <w:t xml:space="preserve">. Additional control variables are entered under </w:t>
      </w:r>
      <m:oMath>
        <m:sSub>
          <m:sSubPr>
            <m:ctrlPr>
              <w:rPr>
                <w:rFonts w:ascii="Cambria Math" w:hAnsi="Cambria Math" w:cs="Courier New"/>
                <w:i/>
                <w:sz w:val="22"/>
                <w:szCs w:val="22"/>
              </w:rPr>
            </m:ctrlPr>
          </m:sSubPr>
          <m:e>
            <m:r>
              <w:rPr>
                <w:rFonts w:ascii="Cambria Math" w:hAnsi="Cambria Math" w:cs="Courier New"/>
                <w:sz w:val="22"/>
                <w:szCs w:val="22"/>
              </w:rPr>
              <m:t>X</m:t>
            </m:r>
          </m:e>
          <m:sub>
            <m:r>
              <w:rPr>
                <w:rFonts w:ascii="Cambria Math" w:hAnsi="Cambria Math" w:cs="Courier New"/>
                <w:sz w:val="22"/>
                <w:szCs w:val="22"/>
              </w:rPr>
              <m:t>ijt</m:t>
            </m:r>
          </m:sub>
        </m:sSub>
      </m:oMath>
      <w:r w:rsidRPr="009B25DB">
        <w:rPr>
          <w:rFonts w:asciiTheme="minorHAnsi" w:hAnsiTheme="minorHAnsi" w:cs="Courier New"/>
          <w:sz w:val="22"/>
          <w:szCs w:val="22"/>
        </w:rPr>
        <w:t>; it includes measure</w:t>
      </w:r>
      <w:r>
        <w:rPr>
          <w:rFonts w:asciiTheme="minorHAnsi" w:hAnsiTheme="minorHAnsi" w:cs="Courier New"/>
          <w:sz w:val="22"/>
          <w:szCs w:val="22"/>
        </w:rPr>
        <w:t>s</w:t>
      </w:r>
      <w:r w:rsidRPr="009B25DB">
        <w:rPr>
          <w:rFonts w:asciiTheme="minorHAnsi" w:hAnsiTheme="minorHAnsi" w:cs="Courier New"/>
          <w:sz w:val="22"/>
          <w:szCs w:val="22"/>
        </w:rPr>
        <w:t xml:space="preserve"> for total good imports from country </w:t>
      </w:r>
      <w:r>
        <w:rPr>
          <w:rFonts w:asciiTheme="minorHAnsi" w:hAnsiTheme="minorHAnsi" w:cs="Courier New"/>
          <w:i/>
          <w:sz w:val="22"/>
          <w:szCs w:val="22"/>
        </w:rPr>
        <w:t>j</w:t>
      </w:r>
      <w:r w:rsidRPr="009B25DB">
        <w:rPr>
          <w:rFonts w:asciiTheme="minorHAnsi" w:hAnsiTheme="minorHAnsi" w:cs="Courier New"/>
          <w:sz w:val="22"/>
          <w:szCs w:val="22"/>
        </w:rPr>
        <w:t xml:space="preserve"> to country </w:t>
      </w:r>
      <w:r>
        <w:rPr>
          <w:rFonts w:asciiTheme="minorHAnsi" w:hAnsiTheme="minorHAnsi" w:cs="Courier New"/>
          <w:i/>
          <w:sz w:val="22"/>
          <w:szCs w:val="22"/>
        </w:rPr>
        <w:t>i</w:t>
      </w:r>
      <w:r w:rsidRPr="009B25DB">
        <w:rPr>
          <w:rFonts w:asciiTheme="minorHAnsi" w:hAnsiTheme="minorHAnsi" w:cs="Courier New"/>
          <w:sz w:val="22"/>
          <w:szCs w:val="22"/>
        </w:rPr>
        <w:t xml:space="preserve">, intermediate good exports from country </w:t>
      </w:r>
      <w:r>
        <w:rPr>
          <w:rFonts w:asciiTheme="minorHAnsi" w:hAnsiTheme="minorHAnsi" w:cs="Courier New"/>
          <w:i/>
          <w:sz w:val="22"/>
          <w:szCs w:val="22"/>
        </w:rPr>
        <w:t>i</w:t>
      </w:r>
      <w:r w:rsidRPr="009B25DB">
        <w:rPr>
          <w:rFonts w:asciiTheme="minorHAnsi" w:hAnsiTheme="minorHAnsi" w:cs="Courier New"/>
          <w:sz w:val="22"/>
          <w:szCs w:val="22"/>
        </w:rPr>
        <w:t xml:space="preserve"> to country </w:t>
      </w:r>
      <w:r>
        <w:rPr>
          <w:rFonts w:asciiTheme="minorHAnsi" w:hAnsiTheme="minorHAnsi" w:cs="Courier New"/>
          <w:i/>
          <w:sz w:val="22"/>
          <w:szCs w:val="22"/>
        </w:rPr>
        <w:t>j</w:t>
      </w:r>
      <w:r w:rsidRPr="009B25DB">
        <w:rPr>
          <w:rFonts w:asciiTheme="minorHAnsi" w:hAnsiTheme="minorHAnsi" w:cs="Courier New"/>
          <w:sz w:val="22"/>
          <w:szCs w:val="22"/>
        </w:rPr>
        <w:t>, the presence of any preferential trade agreement between</w:t>
      </w:r>
      <w:r>
        <w:rPr>
          <w:rFonts w:asciiTheme="minorHAnsi" w:hAnsiTheme="minorHAnsi" w:cs="Courier New"/>
          <w:sz w:val="22"/>
          <w:szCs w:val="22"/>
        </w:rPr>
        <w:t xml:space="preserve"> </w:t>
      </w:r>
      <w:r>
        <w:rPr>
          <w:rFonts w:asciiTheme="minorHAnsi" w:hAnsiTheme="minorHAnsi" w:cs="Courier New"/>
          <w:i/>
          <w:sz w:val="22"/>
          <w:szCs w:val="22"/>
        </w:rPr>
        <w:t>i</w:t>
      </w:r>
      <w:r w:rsidRPr="009B25DB">
        <w:rPr>
          <w:rFonts w:asciiTheme="minorHAnsi" w:hAnsiTheme="minorHAnsi" w:cs="Courier New"/>
          <w:sz w:val="22"/>
          <w:szCs w:val="22"/>
        </w:rPr>
        <w:t xml:space="preserve"> and </w:t>
      </w:r>
      <w:r>
        <w:rPr>
          <w:rFonts w:asciiTheme="minorHAnsi" w:hAnsiTheme="minorHAnsi" w:cs="Courier New"/>
          <w:i/>
          <w:sz w:val="22"/>
          <w:szCs w:val="22"/>
        </w:rPr>
        <w:t>j</w:t>
      </w:r>
      <w:r w:rsidRPr="009B25DB">
        <w:rPr>
          <w:rFonts w:asciiTheme="minorHAnsi" w:hAnsiTheme="minorHAnsi" w:cs="Courier New"/>
          <w:sz w:val="22"/>
          <w:szCs w:val="22"/>
        </w:rPr>
        <w:t xml:space="preserve"> and its </w:t>
      </w:r>
      <w:r>
        <w:rPr>
          <w:rFonts w:asciiTheme="minorHAnsi" w:hAnsiTheme="minorHAnsi" w:cs="Courier New"/>
          <w:sz w:val="22"/>
          <w:szCs w:val="22"/>
        </w:rPr>
        <w:t>i</w:t>
      </w:r>
      <w:r>
        <w:rPr>
          <w:rFonts w:asciiTheme="minorHAnsi" w:hAnsiTheme="minorHAnsi" w:cs="Courier New"/>
          <w:sz w:val="22"/>
          <w:szCs w:val="22"/>
        </w:rPr>
        <w:t>n</w:t>
      </w:r>
      <w:r>
        <w:rPr>
          <w:rFonts w:asciiTheme="minorHAnsi" w:hAnsiTheme="minorHAnsi" w:cs="Courier New"/>
          <w:sz w:val="22"/>
          <w:szCs w:val="22"/>
        </w:rPr>
        <w:t>vestment provisions</w:t>
      </w:r>
      <w:r w:rsidRPr="009B25DB">
        <w:rPr>
          <w:rFonts w:asciiTheme="minorHAnsi" w:hAnsiTheme="minorHAnsi" w:cs="Courier New"/>
          <w:sz w:val="22"/>
          <w:szCs w:val="22"/>
        </w:rPr>
        <w:t xml:space="preserve">, and the Polity IV score for the host nation </w:t>
      </w:r>
      <w:r>
        <w:rPr>
          <w:rFonts w:asciiTheme="minorHAnsi" w:hAnsiTheme="minorHAnsi" w:cs="Courier New"/>
          <w:i/>
          <w:sz w:val="22"/>
          <w:szCs w:val="22"/>
        </w:rPr>
        <w:t>i</w:t>
      </w:r>
      <w:r w:rsidRPr="009B25DB">
        <w:rPr>
          <w:rFonts w:asciiTheme="minorHAnsi" w:hAnsiTheme="minorHAnsi" w:cs="Courier New"/>
          <w:sz w:val="22"/>
          <w:szCs w:val="22"/>
        </w:rPr>
        <w:t>, to control for any political instabil</w:t>
      </w:r>
      <w:r w:rsidRPr="009B25DB">
        <w:rPr>
          <w:rFonts w:asciiTheme="minorHAnsi" w:hAnsiTheme="minorHAnsi" w:cs="Courier New"/>
          <w:sz w:val="22"/>
          <w:szCs w:val="22"/>
        </w:rPr>
        <w:t>i</w:t>
      </w:r>
      <w:r w:rsidRPr="009B25DB">
        <w:rPr>
          <w:rFonts w:asciiTheme="minorHAnsi" w:hAnsiTheme="minorHAnsi" w:cs="Courier New"/>
          <w:sz w:val="22"/>
          <w:szCs w:val="22"/>
        </w:rPr>
        <w:t xml:space="preserve">ties. Year dummies, under </w:t>
      </w:r>
      <m:oMath>
        <m:sSub>
          <m:sSubPr>
            <m:ctrlPr>
              <w:rPr>
                <w:rFonts w:ascii="Cambria Math" w:hAnsi="Cambria Math" w:cs="Courier New"/>
                <w:i/>
                <w:sz w:val="22"/>
                <w:szCs w:val="22"/>
              </w:rPr>
            </m:ctrlPr>
          </m:sSubPr>
          <m:e>
            <m:r>
              <w:rPr>
                <w:rFonts w:ascii="Cambria Math" w:hAnsi="Cambria Math" w:cs="Courier New"/>
                <w:sz w:val="22"/>
                <w:szCs w:val="22"/>
              </w:rPr>
              <m:t>T</m:t>
            </m:r>
          </m:e>
          <m:sub>
            <m:r>
              <w:rPr>
                <w:rFonts w:ascii="Cambria Math" w:hAnsi="Cambria Math" w:cs="Courier New"/>
                <w:sz w:val="22"/>
                <w:szCs w:val="22"/>
              </w:rPr>
              <m:t>t</m:t>
            </m:r>
          </m:sub>
        </m:sSub>
      </m:oMath>
      <w:r w:rsidRPr="009B25DB">
        <w:rPr>
          <w:rFonts w:asciiTheme="minorHAnsi" w:hAnsiTheme="minorHAnsi" w:cs="Courier New"/>
          <w:sz w:val="22"/>
          <w:szCs w:val="22"/>
        </w:rPr>
        <w:t xml:space="preserve">, control for time trends that persist in the data, and dummies for host-source pairs, </w:t>
      </w:r>
      <m:oMath>
        <m:sSub>
          <m:sSubPr>
            <m:ctrlPr>
              <w:rPr>
                <w:rFonts w:ascii="Cambria Math" w:hAnsi="Cambria Math" w:cs="Courier New"/>
                <w:i/>
                <w:sz w:val="22"/>
                <w:szCs w:val="22"/>
              </w:rPr>
            </m:ctrlPr>
          </m:sSubPr>
          <m:e>
            <m:r>
              <w:rPr>
                <w:rFonts w:ascii="Cambria Math" w:hAnsi="Cambria Math" w:cs="Courier New"/>
                <w:sz w:val="22"/>
                <w:szCs w:val="22"/>
              </w:rPr>
              <m:t>P</m:t>
            </m:r>
          </m:e>
          <m:sub>
            <m:r>
              <w:rPr>
                <w:rFonts w:ascii="Cambria Math" w:hAnsi="Cambria Math" w:cs="Courier New"/>
                <w:sz w:val="22"/>
                <w:szCs w:val="22"/>
              </w:rPr>
              <m:t>ij</m:t>
            </m:r>
          </m:sub>
        </m:sSub>
      </m:oMath>
      <w:r w:rsidRPr="009B25DB">
        <w:rPr>
          <w:rFonts w:asciiTheme="minorHAnsi" w:hAnsiTheme="minorHAnsi" w:cs="Courier New"/>
          <w:sz w:val="22"/>
          <w:szCs w:val="22"/>
        </w:rPr>
        <w:t xml:space="preserve">, control for cross-pair heterogeneity. Importantly, the PPML estimates will be efficient as the error term, </w:t>
      </w:r>
      <m:oMath>
        <m:sSub>
          <m:sSubPr>
            <m:ctrlPr>
              <w:rPr>
                <w:rFonts w:ascii="Cambria Math" w:hAnsi="Cambria Math" w:cs="Courier New"/>
                <w:i/>
                <w:sz w:val="22"/>
                <w:szCs w:val="22"/>
              </w:rPr>
            </m:ctrlPr>
          </m:sSubPr>
          <m:e>
            <m:r>
              <w:rPr>
                <w:rFonts w:ascii="Cambria Math" w:hAnsi="Cambria Math" w:cs="Courier New"/>
                <w:sz w:val="22"/>
                <w:szCs w:val="22"/>
              </w:rPr>
              <m:t>u</m:t>
            </m:r>
          </m:e>
          <m:sub>
            <m:r>
              <w:rPr>
                <w:rFonts w:ascii="Cambria Math" w:hAnsi="Cambria Math" w:cs="Courier New"/>
                <w:sz w:val="22"/>
                <w:szCs w:val="22"/>
              </w:rPr>
              <m:t>ijt</m:t>
            </m:r>
          </m:sub>
        </m:sSub>
      </m:oMath>
      <w:r w:rsidRPr="009B25DB">
        <w:rPr>
          <w:rFonts w:asciiTheme="minorHAnsi" w:hAnsiTheme="minorHAnsi" w:cs="Courier New"/>
          <w:sz w:val="22"/>
          <w:szCs w:val="22"/>
        </w:rPr>
        <w:t>, which displays strong het</w:t>
      </w:r>
      <w:r>
        <w:rPr>
          <w:rFonts w:asciiTheme="minorHAnsi" w:hAnsiTheme="minorHAnsi" w:cs="Courier New"/>
          <w:sz w:val="22"/>
          <w:szCs w:val="22"/>
        </w:rPr>
        <w:t>eroskedasticity, is not logged.</w:t>
      </w:r>
    </w:p>
    <w:p w:rsidR="00AE181D" w:rsidRDefault="00AC7126" w:rsidP="00AE181D">
      <w:pPr>
        <w:pStyle w:val="PlainText"/>
        <w:spacing w:after="120" w:line="360" w:lineRule="auto"/>
        <w:jc w:val="both"/>
        <w:rPr>
          <w:rFonts w:asciiTheme="minorHAnsi" w:hAnsiTheme="minorHAnsi" w:cs="Courier New"/>
          <w:sz w:val="22"/>
          <w:szCs w:val="22"/>
        </w:rPr>
      </w:pPr>
      <m:oMath>
        <m:sSub>
          <m:sSubPr>
            <m:ctrlPr>
              <w:rPr>
                <w:rFonts w:ascii="Cambria Math" w:hAnsi="Cambria Math" w:cs="Courier New"/>
                <w:i/>
                <w:sz w:val="22"/>
                <w:szCs w:val="22"/>
              </w:rPr>
            </m:ctrlPr>
          </m:sSubPr>
          <m:e>
            <m:r>
              <w:rPr>
                <w:rFonts w:ascii="Cambria Math" w:hAnsi="Cambria Math" w:cs="Courier New"/>
                <w:sz w:val="22"/>
                <w:szCs w:val="22"/>
              </w:rPr>
              <m:t>B</m:t>
            </m:r>
          </m:e>
          <m:sub>
            <m:r>
              <w:rPr>
                <w:rFonts w:ascii="Cambria Math" w:hAnsi="Cambria Math" w:cs="Courier New"/>
                <w:sz w:val="22"/>
                <w:szCs w:val="22"/>
              </w:rPr>
              <m:t>ijt</m:t>
            </m:r>
          </m:sub>
        </m:sSub>
      </m:oMath>
      <w:r w:rsidR="00AE181D" w:rsidRPr="009B25DB">
        <w:rPr>
          <w:rFonts w:asciiTheme="minorHAnsi" w:hAnsiTheme="minorHAnsi" w:cs="Courier New"/>
          <w:sz w:val="22"/>
          <w:szCs w:val="22"/>
        </w:rPr>
        <w:t xml:space="preserve"> </w:t>
      </w:r>
      <w:r w:rsidR="00AE181D">
        <w:rPr>
          <w:rFonts w:asciiTheme="minorHAnsi" w:hAnsiTheme="minorHAnsi" w:cs="Courier New"/>
          <w:sz w:val="22"/>
          <w:szCs w:val="22"/>
        </w:rPr>
        <w:t xml:space="preserve">is the variables of interest. If </w:t>
      </w:r>
      <w:r w:rsidR="00AE181D" w:rsidRPr="009B25DB">
        <w:rPr>
          <w:rFonts w:asciiTheme="minorHAnsi" w:hAnsiTheme="minorHAnsi" w:cs="Courier New"/>
          <w:sz w:val="22"/>
          <w:szCs w:val="22"/>
        </w:rPr>
        <w:t xml:space="preserve">ISDS </w:t>
      </w:r>
      <w:r w:rsidR="00AE181D">
        <w:rPr>
          <w:rFonts w:asciiTheme="minorHAnsi" w:hAnsiTheme="minorHAnsi" w:cs="Courier New"/>
          <w:sz w:val="22"/>
          <w:szCs w:val="22"/>
        </w:rPr>
        <w:t xml:space="preserve">causes </w:t>
      </w:r>
      <w:r w:rsidR="00AE181D" w:rsidRPr="009B25DB">
        <w:rPr>
          <w:rFonts w:asciiTheme="minorHAnsi" w:hAnsiTheme="minorHAnsi" w:cs="Courier New"/>
          <w:sz w:val="22"/>
          <w:szCs w:val="22"/>
        </w:rPr>
        <w:t>FDI</w:t>
      </w:r>
      <w:r w:rsidR="00AE181D">
        <w:rPr>
          <w:rFonts w:asciiTheme="minorHAnsi" w:hAnsiTheme="minorHAnsi" w:cs="Courier New"/>
          <w:sz w:val="22"/>
          <w:szCs w:val="22"/>
        </w:rPr>
        <w:t xml:space="preserve"> then </w:t>
      </w:r>
      <m:oMath>
        <m:sSub>
          <m:sSubPr>
            <m:ctrlPr>
              <w:rPr>
                <w:rFonts w:ascii="Cambria Math" w:hAnsi="Cambria Math" w:cs="Courier New"/>
                <w:i/>
                <w:sz w:val="22"/>
                <w:szCs w:val="22"/>
              </w:rPr>
            </m:ctrlPr>
          </m:sSubPr>
          <m:e>
            <m:r>
              <w:rPr>
                <w:rFonts w:ascii="Cambria Math" w:hAnsi="Cambria Math" w:cs="Courier New"/>
                <w:sz w:val="22"/>
                <w:szCs w:val="22"/>
              </w:rPr>
              <m:t>β</m:t>
            </m:r>
          </m:e>
          <m:sub>
            <m:r>
              <w:rPr>
                <w:rFonts w:ascii="Cambria Math" w:hAnsi="Cambria Math" w:cs="Courier New"/>
                <w:sz w:val="22"/>
                <w:szCs w:val="22"/>
              </w:rPr>
              <m:t>2</m:t>
            </m:r>
          </m:sub>
        </m:sSub>
      </m:oMath>
      <w:r w:rsidR="00AE181D" w:rsidRPr="009B25DB">
        <w:rPr>
          <w:rFonts w:asciiTheme="minorHAnsi" w:hAnsiTheme="minorHAnsi" w:cs="Courier New"/>
          <w:sz w:val="22"/>
          <w:szCs w:val="22"/>
        </w:rPr>
        <w:t xml:space="preserve"> is positive and</w:t>
      </w:r>
      <w:r w:rsidR="00AE181D">
        <w:rPr>
          <w:rFonts w:asciiTheme="minorHAnsi" w:hAnsiTheme="minorHAnsi" w:cs="Courier New"/>
          <w:sz w:val="22"/>
          <w:szCs w:val="22"/>
        </w:rPr>
        <w:t xml:space="preserve"> statistically significant. Est</w:t>
      </w:r>
      <w:r w:rsidR="00AE181D">
        <w:rPr>
          <w:rFonts w:asciiTheme="minorHAnsi" w:hAnsiTheme="minorHAnsi" w:cs="Courier New"/>
          <w:sz w:val="22"/>
          <w:szCs w:val="22"/>
        </w:rPr>
        <w:t>i</w:t>
      </w:r>
      <w:r w:rsidR="00AE181D">
        <w:rPr>
          <w:rFonts w:asciiTheme="minorHAnsi" w:hAnsiTheme="minorHAnsi" w:cs="Courier New"/>
          <w:sz w:val="22"/>
          <w:szCs w:val="22"/>
        </w:rPr>
        <w:t xml:space="preserve">mates of </w:t>
      </w:r>
      <m:oMath>
        <m:sSub>
          <m:sSubPr>
            <m:ctrlPr>
              <w:rPr>
                <w:rFonts w:ascii="Cambria Math" w:hAnsi="Cambria Math" w:cs="Courier New"/>
                <w:i/>
                <w:sz w:val="22"/>
                <w:szCs w:val="22"/>
              </w:rPr>
            </m:ctrlPr>
          </m:sSubPr>
          <m:e>
            <m:r>
              <w:rPr>
                <w:rFonts w:ascii="Cambria Math" w:hAnsi="Cambria Math" w:cs="Courier New"/>
                <w:sz w:val="22"/>
                <w:szCs w:val="22"/>
              </w:rPr>
              <m:t>β</m:t>
            </m:r>
          </m:e>
          <m:sub>
            <m:r>
              <w:rPr>
                <w:rFonts w:ascii="Cambria Math" w:hAnsi="Cambria Math" w:cs="Courier New"/>
                <w:sz w:val="22"/>
                <w:szCs w:val="22"/>
              </w:rPr>
              <m:t>3</m:t>
            </m:r>
          </m:sub>
        </m:sSub>
      </m:oMath>
      <w:r w:rsidR="00AE181D" w:rsidRPr="009B25DB">
        <w:rPr>
          <w:rFonts w:asciiTheme="minorHAnsi" w:hAnsiTheme="minorHAnsi" w:cs="Courier New"/>
          <w:sz w:val="22"/>
          <w:szCs w:val="22"/>
        </w:rPr>
        <w:t xml:space="preserve"> and </w:t>
      </w:r>
      <m:oMath>
        <m:sSub>
          <m:sSubPr>
            <m:ctrlPr>
              <w:rPr>
                <w:rFonts w:ascii="Cambria Math" w:hAnsi="Cambria Math" w:cs="Courier New"/>
                <w:i/>
                <w:sz w:val="22"/>
                <w:szCs w:val="22"/>
              </w:rPr>
            </m:ctrlPr>
          </m:sSubPr>
          <m:e>
            <m:r>
              <w:rPr>
                <w:rFonts w:ascii="Cambria Math" w:hAnsi="Cambria Math" w:cs="Courier New"/>
                <w:sz w:val="22"/>
                <w:szCs w:val="22"/>
              </w:rPr>
              <m:t>β</m:t>
            </m:r>
          </m:e>
          <m:sub>
            <m:r>
              <w:rPr>
                <w:rFonts w:ascii="Cambria Math" w:hAnsi="Cambria Math" w:cs="Courier New"/>
                <w:sz w:val="22"/>
                <w:szCs w:val="22"/>
              </w:rPr>
              <m:t>4</m:t>
            </m:r>
          </m:sub>
        </m:sSub>
      </m:oMath>
      <w:r w:rsidR="00AE181D" w:rsidRPr="009B25DB">
        <w:rPr>
          <w:rFonts w:asciiTheme="minorHAnsi" w:hAnsiTheme="minorHAnsi" w:cs="Courier New"/>
          <w:sz w:val="22"/>
          <w:szCs w:val="22"/>
        </w:rPr>
        <w:t xml:space="preserve"> will </w:t>
      </w:r>
      <w:r w:rsidR="00AE181D">
        <w:rPr>
          <w:rFonts w:asciiTheme="minorHAnsi" w:hAnsiTheme="minorHAnsi" w:cs="Courier New"/>
          <w:sz w:val="22"/>
          <w:szCs w:val="22"/>
        </w:rPr>
        <w:t>show if</w:t>
      </w:r>
      <w:r w:rsidR="00AE181D" w:rsidRPr="009B25DB">
        <w:rPr>
          <w:rFonts w:asciiTheme="minorHAnsi" w:hAnsiTheme="minorHAnsi" w:cs="Courier New"/>
          <w:sz w:val="22"/>
          <w:szCs w:val="22"/>
        </w:rPr>
        <w:t xml:space="preserve"> binding rules and unrestricted coverage </w:t>
      </w:r>
      <w:r w:rsidR="00AE181D">
        <w:rPr>
          <w:rFonts w:asciiTheme="minorHAnsi" w:hAnsiTheme="minorHAnsi" w:cs="Courier New"/>
          <w:sz w:val="22"/>
          <w:szCs w:val="22"/>
        </w:rPr>
        <w:t xml:space="preserve">adds to </w:t>
      </w:r>
      <w:r w:rsidR="00AE181D" w:rsidRPr="009B25DB">
        <w:rPr>
          <w:rFonts w:asciiTheme="minorHAnsi" w:hAnsiTheme="minorHAnsi" w:cs="Courier New"/>
          <w:sz w:val="22"/>
          <w:szCs w:val="22"/>
        </w:rPr>
        <w:t xml:space="preserve">the potency of ISDS, </w:t>
      </w:r>
      <w:r w:rsidR="00AE181D">
        <w:rPr>
          <w:rFonts w:asciiTheme="minorHAnsi" w:eastAsiaTheme="minorEastAsia" w:hAnsiTheme="minorHAnsi" w:cs="Courier New"/>
          <w:sz w:val="22"/>
          <w:szCs w:val="22"/>
        </w:rPr>
        <w:t xml:space="preserve">although </w:t>
      </w:r>
      <m:oMath>
        <m:sSub>
          <m:sSubPr>
            <m:ctrlPr>
              <w:rPr>
                <w:rFonts w:ascii="Cambria Math" w:hAnsi="Cambria Math" w:cs="Courier New"/>
                <w:i/>
                <w:sz w:val="22"/>
                <w:szCs w:val="22"/>
              </w:rPr>
            </m:ctrlPr>
          </m:sSubPr>
          <m:e>
            <m:r>
              <w:rPr>
                <w:rFonts w:ascii="Cambria Math" w:hAnsi="Cambria Math" w:cs="Courier New"/>
                <w:sz w:val="22"/>
                <w:szCs w:val="22"/>
              </w:rPr>
              <m:t>β</m:t>
            </m:r>
          </m:e>
          <m:sub>
            <m:r>
              <w:rPr>
                <w:rFonts w:ascii="Cambria Math" w:hAnsi="Cambria Math" w:cs="Courier New"/>
                <w:sz w:val="22"/>
                <w:szCs w:val="22"/>
              </w:rPr>
              <m:t>5</m:t>
            </m:r>
          </m:sub>
        </m:sSub>
      </m:oMath>
      <w:r w:rsidR="00AE181D" w:rsidRPr="009B25DB">
        <w:rPr>
          <w:rFonts w:asciiTheme="minorHAnsi" w:hAnsiTheme="minorHAnsi" w:cs="Courier New"/>
          <w:sz w:val="22"/>
          <w:szCs w:val="22"/>
        </w:rPr>
        <w:t xml:space="preserve"> may be the clearest indicator of how more stringent BITs will </w:t>
      </w:r>
      <w:r w:rsidR="00AE181D">
        <w:rPr>
          <w:rFonts w:asciiTheme="minorHAnsi" w:hAnsiTheme="minorHAnsi" w:cs="Courier New"/>
          <w:sz w:val="22"/>
          <w:szCs w:val="22"/>
        </w:rPr>
        <w:t xml:space="preserve">encourage </w:t>
      </w:r>
      <w:r w:rsidR="00AE181D" w:rsidRPr="009B25DB">
        <w:rPr>
          <w:rFonts w:asciiTheme="minorHAnsi" w:hAnsiTheme="minorHAnsi" w:cs="Courier New"/>
          <w:sz w:val="22"/>
          <w:szCs w:val="22"/>
        </w:rPr>
        <w:t>FDI</w:t>
      </w:r>
      <w:r w:rsidR="00AE181D">
        <w:rPr>
          <w:rFonts w:asciiTheme="minorHAnsi" w:hAnsiTheme="minorHAnsi" w:cs="Courier New"/>
          <w:sz w:val="22"/>
          <w:szCs w:val="22"/>
        </w:rPr>
        <w:t>. It will show the extent to which the effect of binding interpretation of the rules depends on the provision of unr</w:t>
      </w:r>
      <w:r w:rsidR="00AE181D">
        <w:rPr>
          <w:rFonts w:asciiTheme="minorHAnsi" w:hAnsiTheme="minorHAnsi" w:cs="Courier New"/>
          <w:sz w:val="22"/>
          <w:szCs w:val="22"/>
        </w:rPr>
        <w:t>e</w:t>
      </w:r>
      <w:r w:rsidR="00AE181D">
        <w:rPr>
          <w:rFonts w:asciiTheme="minorHAnsi" w:hAnsiTheme="minorHAnsi" w:cs="Courier New"/>
          <w:sz w:val="22"/>
          <w:szCs w:val="22"/>
        </w:rPr>
        <w:t>stricted coverage of investment claims. Calculating this effect in an interaction regression model is as follows:</w:t>
      </w:r>
    </w:p>
    <w:p w:rsidR="00AE181D" w:rsidRDefault="00AC7126" w:rsidP="00AE181D">
      <w:pPr>
        <w:pStyle w:val="PlainText"/>
        <w:spacing w:after="120" w:line="360" w:lineRule="auto"/>
        <w:jc w:val="both"/>
        <w:rPr>
          <w:rFonts w:asciiTheme="minorHAnsi" w:eastAsiaTheme="minorEastAsia" w:hAnsiTheme="minorHAnsi" w:cs="Courier New"/>
          <w:sz w:val="22"/>
          <w:szCs w:val="22"/>
        </w:rPr>
      </w:pPr>
      <m:oMath>
        <m:d>
          <m:dPr>
            <m:ctrlPr>
              <w:rPr>
                <w:rFonts w:ascii="Cambria Math" w:hAnsi="Cambria Math" w:cs="Courier New"/>
                <w:i/>
                <w:sz w:val="22"/>
                <w:szCs w:val="22"/>
              </w:rPr>
            </m:ctrlPr>
          </m:dPr>
          <m:e>
            <m:r>
              <w:rPr>
                <w:rFonts w:ascii="Cambria Math" w:hAnsi="Cambria Math" w:cs="Courier New"/>
                <w:sz w:val="22"/>
                <w:szCs w:val="22"/>
              </w:rPr>
              <m:t>3</m:t>
            </m:r>
          </m:e>
        </m:d>
        <m:r>
          <w:rPr>
            <w:rFonts w:ascii="Cambria Math" w:hAnsi="Cambria Math" w:cs="Courier New"/>
            <w:sz w:val="22"/>
            <w:szCs w:val="22"/>
          </w:rPr>
          <m:t xml:space="preserve">    E</m:t>
        </m:r>
        <m:d>
          <m:dPr>
            <m:ctrlPr>
              <w:rPr>
                <w:rFonts w:ascii="Cambria Math" w:hAnsi="Cambria Math" w:cs="Courier New"/>
                <w:i/>
                <w:sz w:val="22"/>
                <w:szCs w:val="22"/>
              </w:rPr>
            </m:ctrlPr>
          </m:dPr>
          <m:e>
            <m:sSub>
              <m:sSubPr>
                <m:ctrlPr>
                  <w:rPr>
                    <w:rFonts w:ascii="Cambria Math" w:hAnsi="Cambria Math" w:cs="Courier New"/>
                    <w:i/>
                    <w:sz w:val="22"/>
                    <w:szCs w:val="22"/>
                  </w:rPr>
                </m:ctrlPr>
              </m:sSubPr>
              <m:e>
                <m:r>
                  <w:rPr>
                    <w:rFonts w:ascii="Cambria Math" w:hAnsi="Cambria Math" w:cs="Courier New"/>
                    <w:sz w:val="22"/>
                    <w:szCs w:val="22"/>
                  </w:rPr>
                  <m:t>FDI</m:t>
                </m:r>
              </m:e>
              <m:sub>
                <m:r>
                  <w:rPr>
                    <w:rFonts w:ascii="Cambria Math" w:hAnsi="Cambria Math" w:cs="Courier New"/>
                    <w:sz w:val="22"/>
                    <w:szCs w:val="22"/>
                  </w:rPr>
                  <m:t>ijt</m:t>
                </m:r>
              </m:sub>
            </m:sSub>
          </m:e>
          <m:e>
            <m:sSub>
              <m:sSubPr>
                <m:ctrlPr>
                  <w:rPr>
                    <w:rFonts w:ascii="Cambria Math" w:hAnsi="Cambria Math" w:cs="Courier New"/>
                    <w:i/>
                    <w:sz w:val="22"/>
                    <w:szCs w:val="22"/>
                  </w:rPr>
                </m:ctrlPr>
              </m:sSubPr>
              <m:e>
                <m:r>
                  <w:rPr>
                    <w:rFonts w:ascii="Cambria Math" w:hAnsi="Cambria Math" w:cs="Courier New"/>
                    <w:sz w:val="22"/>
                    <w:szCs w:val="22"/>
                  </w:rPr>
                  <m:t>Unre</m:t>
                </m:r>
              </m:e>
              <m:sub>
                <m:r>
                  <w:rPr>
                    <w:rFonts w:ascii="Cambria Math" w:hAnsi="Cambria Math" w:cs="Courier New"/>
                    <w:sz w:val="22"/>
                    <w:szCs w:val="22"/>
                  </w:rPr>
                  <m:t>ijt</m:t>
                </m:r>
              </m:sub>
            </m:sSub>
            <m:r>
              <w:rPr>
                <w:rFonts w:ascii="Cambria Math" w:hAnsi="Cambria Math" w:cs="Courier New"/>
                <w:sz w:val="22"/>
                <w:szCs w:val="22"/>
              </w:rPr>
              <m:t xml:space="preserve">=d, </m:t>
            </m:r>
            <m:sSub>
              <m:sSubPr>
                <m:ctrlPr>
                  <w:rPr>
                    <w:rFonts w:ascii="Cambria Math" w:hAnsi="Cambria Math" w:cs="Courier New"/>
                    <w:i/>
                    <w:sz w:val="22"/>
                    <w:szCs w:val="22"/>
                  </w:rPr>
                </m:ctrlPr>
              </m:sSubPr>
              <m:e>
                <m:r>
                  <w:rPr>
                    <w:rFonts w:ascii="Cambria Math" w:hAnsi="Cambria Math" w:cs="Courier New"/>
                    <w:sz w:val="22"/>
                    <w:szCs w:val="22"/>
                  </w:rPr>
                  <m:t>Bin</m:t>
                </m:r>
              </m:e>
              <m:sub>
                <m:r>
                  <w:rPr>
                    <w:rFonts w:ascii="Cambria Math" w:hAnsi="Cambria Math" w:cs="Courier New"/>
                    <w:sz w:val="22"/>
                    <w:szCs w:val="22"/>
                  </w:rPr>
                  <m:t>ijt</m:t>
                </m:r>
              </m:sub>
            </m:sSub>
            <m:r>
              <w:rPr>
                <w:rFonts w:ascii="Cambria Math" w:hAnsi="Cambria Math" w:cs="Courier New"/>
                <w:sz w:val="22"/>
                <w:szCs w:val="22"/>
              </w:rPr>
              <m:t>=1</m:t>
            </m:r>
          </m:e>
        </m:d>
        <m:r>
          <w:rPr>
            <w:rFonts w:ascii="Cambria Math" w:hAnsi="Cambria Math" w:cs="Courier New"/>
            <w:sz w:val="22"/>
            <w:szCs w:val="22"/>
          </w:rPr>
          <m:t>-E</m:t>
        </m:r>
        <m:d>
          <m:dPr>
            <m:ctrlPr>
              <w:rPr>
                <w:rFonts w:ascii="Cambria Math" w:hAnsi="Cambria Math" w:cs="Courier New"/>
                <w:i/>
                <w:sz w:val="22"/>
                <w:szCs w:val="22"/>
              </w:rPr>
            </m:ctrlPr>
          </m:dPr>
          <m:e>
            <m:sSub>
              <m:sSubPr>
                <m:ctrlPr>
                  <w:rPr>
                    <w:rFonts w:ascii="Cambria Math" w:hAnsi="Cambria Math" w:cs="Courier New"/>
                    <w:i/>
                    <w:sz w:val="22"/>
                    <w:szCs w:val="22"/>
                  </w:rPr>
                </m:ctrlPr>
              </m:sSubPr>
              <m:e>
                <m:r>
                  <w:rPr>
                    <w:rFonts w:ascii="Cambria Math" w:hAnsi="Cambria Math" w:cs="Courier New"/>
                    <w:sz w:val="22"/>
                    <w:szCs w:val="22"/>
                  </w:rPr>
                  <m:t>FDI</m:t>
                </m:r>
              </m:e>
              <m:sub>
                <m:r>
                  <w:rPr>
                    <w:rFonts w:ascii="Cambria Math" w:hAnsi="Cambria Math" w:cs="Courier New"/>
                    <w:sz w:val="22"/>
                    <w:szCs w:val="22"/>
                  </w:rPr>
                  <m:t>ijt</m:t>
                </m:r>
              </m:sub>
            </m:sSub>
          </m:e>
          <m:e>
            <m:sSub>
              <m:sSubPr>
                <m:ctrlPr>
                  <w:rPr>
                    <w:rFonts w:ascii="Cambria Math" w:hAnsi="Cambria Math" w:cs="Courier New"/>
                    <w:i/>
                    <w:sz w:val="22"/>
                    <w:szCs w:val="22"/>
                  </w:rPr>
                </m:ctrlPr>
              </m:sSubPr>
              <m:e>
                <m:r>
                  <w:rPr>
                    <w:rFonts w:ascii="Cambria Math" w:hAnsi="Cambria Math" w:cs="Courier New"/>
                    <w:sz w:val="22"/>
                    <w:szCs w:val="22"/>
                  </w:rPr>
                  <m:t>Unre</m:t>
                </m:r>
              </m:e>
              <m:sub>
                <m:r>
                  <w:rPr>
                    <w:rFonts w:ascii="Cambria Math" w:hAnsi="Cambria Math" w:cs="Courier New"/>
                    <w:sz w:val="22"/>
                    <w:szCs w:val="22"/>
                  </w:rPr>
                  <m:t>ijt</m:t>
                </m:r>
              </m:sub>
            </m:sSub>
            <m:r>
              <w:rPr>
                <w:rFonts w:ascii="Cambria Math" w:hAnsi="Cambria Math" w:cs="Courier New"/>
                <w:sz w:val="22"/>
                <w:szCs w:val="22"/>
              </w:rPr>
              <m:t xml:space="preserve">=d, </m:t>
            </m:r>
            <m:sSub>
              <m:sSubPr>
                <m:ctrlPr>
                  <w:rPr>
                    <w:rFonts w:ascii="Cambria Math" w:hAnsi="Cambria Math" w:cs="Courier New"/>
                    <w:i/>
                    <w:sz w:val="22"/>
                    <w:szCs w:val="22"/>
                  </w:rPr>
                </m:ctrlPr>
              </m:sSubPr>
              <m:e>
                <m:r>
                  <w:rPr>
                    <w:rFonts w:ascii="Cambria Math" w:hAnsi="Cambria Math" w:cs="Courier New"/>
                    <w:sz w:val="22"/>
                    <w:szCs w:val="22"/>
                  </w:rPr>
                  <m:t>Bin</m:t>
                </m:r>
              </m:e>
              <m:sub>
                <m:r>
                  <w:rPr>
                    <w:rFonts w:ascii="Cambria Math" w:hAnsi="Cambria Math" w:cs="Courier New"/>
                    <w:sz w:val="22"/>
                    <w:szCs w:val="22"/>
                  </w:rPr>
                  <m:t>ijt</m:t>
                </m:r>
              </m:sub>
            </m:sSub>
            <m:r>
              <w:rPr>
                <w:rFonts w:ascii="Cambria Math" w:hAnsi="Cambria Math" w:cs="Courier New"/>
                <w:sz w:val="22"/>
                <w:szCs w:val="22"/>
              </w:rPr>
              <m:t>=0</m:t>
            </m:r>
          </m:e>
        </m:d>
        <m:r>
          <w:rPr>
            <w:rFonts w:ascii="Cambria Math" w:hAnsi="Cambria Math" w:cs="Courier New"/>
            <w:sz w:val="22"/>
            <w:szCs w:val="22"/>
          </w:rPr>
          <m:t>=</m:t>
        </m:r>
        <m:sSub>
          <m:sSubPr>
            <m:ctrlPr>
              <w:rPr>
                <w:rFonts w:ascii="Cambria Math" w:hAnsi="Cambria Math" w:cs="Courier New"/>
                <w:i/>
                <w:sz w:val="22"/>
                <w:szCs w:val="22"/>
              </w:rPr>
            </m:ctrlPr>
          </m:sSubPr>
          <m:e>
            <m:r>
              <w:rPr>
                <w:rFonts w:ascii="Cambria Math" w:hAnsi="Cambria Math" w:cs="Courier New"/>
                <w:sz w:val="22"/>
                <w:szCs w:val="22"/>
              </w:rPr>
              <m:t>β</m:t>
            </m:r>
          </m:e>
          <m:sub>
            <m:r>
              <w:rPr>
                <w:rFonts w:ascii="Cambria Math" w:hAnsi="Cambria Math" w:cs="Courier New"/>
                <w:sz w:val="22"/>
                <w:szCs w:val="22"/>
              </w:rPr>
              <m:t>3</m:t>
            </m:r>
          </m:sub>
        </m:sSub>
        <m:r>
          <w:rPr>
            <w:rFonts w:ascii="Cambria Math" w:hAnsi="Cambria Math" w:cs="Courier New"/>
            <w:sz w:val="22"/>
            <w:szCs w:val="22"/>
          </w:rPr>
          <m:t>+</m:t>
        </m:r>
        <m:sSub>
          <m:sSubPr>
            <m:ctrlPr>
              <w:rPr>
                <w:rFonts w:ascii="Cambria Math" w:hAnsi="Cambria Math" w:cs="Courier New"/>
                <w:i/>
                <w:sz w:val="22"/>
                <w:szCs w:val="22"/>
              </w:rPr>
            </m:ctrlPr>
          </m:sSubPr>
          <m:e>
            <m:r>
              <w:rPr>
                <w:rFonts w:ascii="Cambria Math" w:hAnsi="Cambria Math" w:cs="Courier New"/>
                <w:sz w:val="22"/>
                <w:szCs w:val="22"/>
              </w:rPr>
              <m:t>β</m:t>
            </m:r>
          </m:e>
          <m:sub>
            <m:r>
              <w:rPr>
                <w:rFonts w:ascii="Cambria Math" w:hAnsi="Cambria Math" w:cs="Courier New"/>
                <w:sz w:val="22"/>
                <w:szCs w:val="22"/>
              </w:rPr>
              <m:t>5</m:t>
            </m:r>
          </m:sub>
        </m:sSub>
        <m:r>
          <w:rPr>
            <w:rFonts w:ascii="Cambria Math" w:hAnsi="Cambria Math" w:cs="Courier New"/>
            <w:sz w:val="22"/>
            <w:szCs w:val="22"/>
          </w:rPr>
          <m:t>d</m:t>
        </m:r>
      </m:oMath>
      <w:r w:rsidR="00AE181D">
        <w:rPr>
          <w:rFonts w:asciiTheme="minorHAnsi" w:eastAsiaTheme="minorEastAsia" w:hAnsiTheme="minorHAnsi" w:cs="Courier New"/>
          <w:sz w:val="22"/>
          <w:szCs w:val="22"/>
        </w:rPr>
        <w:tab/>
      </w:r>
    </w:p>
    <w:p w:rsidR="00AE181D" w:rsidRDefault="00AE181D" w:rsidP="00AE181D">
      <w:pPr>
        <w:pStyle w:val="PlainText"/>
        <w:spacing w:after="120" w:line="360" w:lineRule="auto"/>
        <w:jc w:val="both"/>
        <w:rPr>
          <w:rFonts w:asciiTheme="minorHAnsi" w:hAnsiTheme="minorHAnsi" w:cs="Courier New"/>
          <w:sz w:val="22"/>
          <w:szCs w:val="22"/>
        </w:rPr>
      </w:pPr>
      <w:r w:rsidRPr="009B25DB">
        <w:rPr>
          <w:rFonts w:asciiTheme="minorHAnsi" w:hAnsiTheme="minorHAnsi" w:cs="Courier New"/>
          <w:sz w:val="22"/>
          <w:szCs w:val="22"/>
        </w:rPr>
        <w:t xml:space="preserve">The estimated overall impacts of BITs with </w:t>
      </w:r>
      <w:r>
        <w:rPr>
          <w:rFonts w:asciiTheme="minorHAnsi" w:hAnsiTheme="minorHAnsi" w:cs="Courier New"/>
          <w:sz w:val="22"/>
          <w:szCs w:val="22"/>
        </w:rPr>
        <w:t xml:space="preserve">pre-consent to </w:t>
      </w:r>
      <w:r w:rsidRPr="009B25DB">
        <w:rPr>
          <w:rFonts w:asciiTheme="minorHAnsi" w:hAnsiTheme="minorHAnsi" w:cs="Courier New"/>
          <w:sz w:val="22"/>
          <w:szCs w:val="22"/>
        </w:rPr>
        <w:t>ISDS alone (</w:t>
      </w:r>
      <m:oMath>
        <m:sSub>
          <m:sSubPr>
            <m:ctrlPr>
              <w:rPr>
                <w:rFonts w:ascii="Cambria Math" w:hAnsi="Cambria Math" w:cs="Courier New"/>
                <w:i/>
                <w:sz w:val="22"/>
                <w:szCs w:val="22"/>
              </w:rPr>
            </m:ctrlPr>
          </m:sSubPr>
          <m:e>
            <m:acc>
              <m:accPr>
                <m:ctrlPr>
                  <w:rPr>
                    <w:rFonts w:ascii="Cambria Math" w:hAnsi="Cambria Math" w:cs="Courier New"/>
                    <w:i/>
                    <w:sz w:val="22"/>
                    <w:szCs w:val="22"/>
                  </w:rPr>
                </m:ctrlPr>
              </m:accPr>
              <m:e>
                <m:r>
                  <w:rPr>
                    <w:rFonts w:ascii="Cambria Math" w:hAnsi="Cambria Math" w:cs="Courier New"/>
                    <w:sz w:val="22"/>
                    <w:szCs w:val="22"/>
                  </w:rPr>
                  <m:t>B</m:t>
                </m:r>
              </m:e>
            </m:acc>
          </m:e>
          <m:sub>
            <m:r>
              <w:rPr>
                <w:rFonts w:ascii="Cambria Math" w:hAnsi="Cambria Math" w:cs="Courier New"/>
                <w:sz w:val="22"/>
                <w:szCs w:val="22"/>
              </w:rPr>
              <m:t>weak</m:t>
            </m:r>
          </m:sub>
        </m:sSub>
      </m:oMath>
      <w:r w:rsidRPr="009B25DB">
        <w:rPr>
          <w:rFonts w:asciiTheme="minorHAnsi" w:hAnsiTheme="minorHAnsi" w:cs="Courier New"/>
          <w:sz w:val="22"/>
          <w:szCs w:val="22"/>
        </w:rPr>
        <w:t>) and BITs with wide and binding ISDS (</w:t>
      </w:r>
      <m:oMath>
        <m:sSub>
          <m:sSubPr>
            <m:ctrlPr>
              <w:rPr>
                <w:rFonts w:ascii="Cambria Math" w:hAnsi="Cambria Math" w:cs="Courier New"/>
                <w:i/>
                <w:sz w:val="22"/>
                <w:szCs w:val="22"/>
              </w:rPr>
            </m:ctrlPr>
          </m:sSubPr>
          <m:e>
            <m:acc>
              <m:accPr>
                <m:ctrlPr>
                  <w:rPr>
                    <w:rFonts w:ascii="Cambria Math" w:hAnsi="Cambria Math" w:cs="Courier New"/>
                    <w:i/>
                    <w:sz w:val="22"/>
                    <w:szCs w:val="22"/>
                  </w:rPr>
                </m:ctrlPr>
              </m:accPr>
              <m:e>
                <m:r>
                  <w:rPr>
                    <w:rFonts w:ascii="Cambria Math" w:hAnsi="Cambria Math" w:cs="Courier New"/>
                    <w:sz w:val="22"/>
                    <w:szCs w:val="22"/>
                  </w:rPr>
                  <m:t>B</m:t>
                </m:r>
              </m:e>
            </m:acc>
          </m:e>
          <m:sub>
            <m:r>
              <w:rPr>
                <w:rFonts w:ascii="Cambria Math" w:hAnsi="Cambria Math" w:cs="Courier New"/>
                <w:sz w:val="22"/>
                <w:szCs w:val="22"/>
              </w:rPr>
              <m:t>strong</m:t>
            </m:r>
          </m:sub>
        </m:sSub>
      </m:oMath>
      <w:r w:rsidRPr="009B25DB">
        <w:rPr>
          <w:rFonts w:asciiTheme="minorHAnsi" w:hAnsiTheme="minorHAnsi" w:cs="Courier New"/>
          <w:sz w:val="22"/>
          <w:szCs w:val="22"/>
        </w:rPr>
        <w:t xml:space="preserve">) </w:t>
      </w:r>
      <w:r>
        <w:rPr>
          <w:rFonts w:asciiTheme="minorHAnsi" w:hAnsiTheme="minorHAnsi" w:cs="Courier New"/>
          <w:sz w:val="22"/>
          <w:szCs w:val="22"/>
        </w:rPr>
        <w:t>can</w:t>
      </w:r>
      <w:r w:rsidRPr="009B25DB">
        <w:rPr>
          <w:rFonts w:asciiTheme="minorHAnsi" w:hAnsiTheme="minorHAnsi" w:cs="Courier New"/>
          <w:sz w:val="22"/>
          <w:szCs w:val="22"/>
        </w:rPr>
        <w:t xml:space="preserve"> therefore </w:t>
      </w:r>
      <w:r>
        <w:rPr>
          <w:rFonts w:asciiTheme="minorHAnsi" w:hAnsiTheme="minorHAnsi" w:cs="Courier New"/>
          <w:sz w:val="22"/>
          <w:szCs w:val="22"/>
        </w:rPr>
        <w:t xml:space="preserve">be </w:t>
      </w:r>
      <w:r w:rsidRPr="009B25DB">
        <w:rPr>
          <w:rFonts w:asciiTheme="minorHAnsi" w:hAnsiTheme="minorHAnsi" w:cs="Courier New"/>
          <w:sz w:val="22"/>
          <w:szCs w:val="22"/>
        </w:rPr>
        <w:t>compared as follows:</w:t>
      </w:r>
      <w:r>
        <w:rPr>
          <w:rFonts w:asciiTheme="minorHAnsi" w:hAnsiTheme="minorHAnsi" w:cs="Courier New"/>
          <w:sz w:val="22"/>
          <w:szCs w:val="22"/>
        </w:rPr>
        <w:t xml:space="preserve"> </w:t>
      </w:r>
    </w:p>
    <w:p w:rsidR="00AE181D" w:rsidRPr="004E00E7" w:rsidRDefault="00AC7126" w:rsidP="00AE181D">
      <w:pPr>
        <w:pStyle w:val="PlainText"/>
        <w:spacing w:after="120" w:line="360" w:lineRule="auto"/>
        <w:jc w:val="both"/>
        <w:rPr>
          <w:rFonts w:asciiTheme="minorHAnsi" w:eastAsiaTheme="minorEastAsia" w:hAnsiTheme="minorHAnsi" w:cs="Courier New"/>
          <w:sz w:val="22"/>
          <w:szCs w:val="22"/>
        </w:rPr>
      </w:pPr>
      <m:oMath>
        <m:d>
          <m:dPr>
            <m:ctrlPr>
              <w:rPr>
                <w:rFonts w:ascii="Cambria Math" w:hAnsi="Cambria Math" w:cs="Courier New"/>
                <w:i/>
                <w:sz w:val="22"/>
                <w:szCs w:val="22"/>
              </w:rPr>
            </m:ctrlPr>
          </m:dPr>
          <m:e>
            <m:r>
              <w:rPr>
                <w:rFonts w:ascii="Cambria Math" w:hAnsi="Cambria Math" w:cs="Courier New"/>
                <w:sz w:val="22"/>
                <w:szCs w:val="22"/>
              </w:rPr>
              <m:t>4</m:t>
            </m:r>
          </m:e>
        </m:d>
        <m:r>
          <w:rPr>
            <w:rFonts w:ascii="Cambria Math" w:hAnsi="Cambria Math" w:cs="Courier New"/>
            <w:sz w:val="22"/>
            <w:szCs w:val="22"/>
          </w:rPr>
          <m:t xml:space="preserve">    E(</m:t>
        </m:r>
        <m:sSub>
          <m:sSubPr>
            <m:ctrlPr>
              <w:rPr>
                <w:rFonts w:ascii="Cambria Math" w:hAnsi="Cambria Math" w:cs="Courier New"/>
                <w:i/>
                <w:sz w:val="22"/>
                <w:szCs w:val="22"/>
              </w:rPr>
            </m:ctrlPr>
          </m:sSubPr>
          <m:e>
            <m:r>
              <w:rPr>
                <w:rFonts w:ascii="Cambria Math" w:hAnsi="Cambria Math" w:cs="Courier New"/>
                <w:sz w:val="22"/>
                <w:szCs w:val="22"/>
              </w:rPr>
              <m:t>FDI</m:t>
            </m:r>
          </m:e>
          <m:sub>
            <m:r>
              <w:rPr>
                <w:rFonts w:ascii="Cambria Math" w:hAnsi="Cambria Math" w:cs="Courier New"/>
                <w:sz w:val="22"/>
                <w:szCs w:val="22"/>
              </w:rPr>
              <m:t>ijt</m:t>
            </m:r>
          </m:sub>
        </m:sSub>
        <m:r>
          <w:rPr>
            <w:rFonts w:ascii="Cambria Math" w:hAnsi="Cambria Math" w:cs="Courier New"/>
            <w:sz w:val="22"/>
            <w:szCs w:val="22"/>
          </w:rPr>
          <m:t>|</m:t>
        </m:r>
        <m:sSub>
          <m:sSubPr>
            <m:ctrlPr>
              <w:rPr>
                <w:rFonts w:ascii="Cambria Math" w:hAnsi="Cambria Math" w:cs="Courier New"/>
                <w:i/>
                <w:sz w:val="22"/>
                <w:szCs w:val="22"/>
              </w:rPr>
            </m:ctrlPr>
          </m:sSubPr>
          <m:e>
            <m:r>
              <w:rPr>
                <w:rFonts w:ascii="Cambria Math" w:hAnsi="Cambria Math" w:cs="Courier New"/>
                <w:sz w:val="22"/>
                <w:szCs w:val="22"/>
              </w:rPr>
              <m:t>B</m:t>
            </m:r>
          </m:e>
          <m:sub>
            <m:r>
              <w:rPr>
                <w:rFonts w:ascii="Cambria Math" w:hAnsi="Cambria Math" w:cs="Courier New"/>
                <w:sz w:val="22"/>
                <w:szCs w:val="22"/>
              </w:rPr>
              <m:t>weak</m:t>
            </m:r>
          </m:sub>
        </m:sSub>
        <m:r>
          <w:rPr>
            <w:rFonts w:ascii="Cambria Math" w:hAnsi="Cambria Math" w:cs="Courier New"/>
            <w:sz w:val="22"/>
            <w:szCs w:val="22"/>
          </w:rPr>
          <m:t>=1)=</m:t>
        </m:r>
        <m:sSub>
          <m:sSubPr>
            <m:ctrlPr>
              <w:rPr>
                <w:rFonts w:ascii="Cambria Math" w:hAnsi="Cambria Math" w:cs="Courier New"/>
                <w:i/>
                <w:sz w:val="22"/>
                <w:szCs w:val="22"/>
              </w:rPr>
            </m:ctrlPr>
          </m:sSubPr>
          <m:e>
            <m:r>
              <w:rPr>
                <w:rFonts w:ascii="Cambria Math" w:hAnsi="Cambria Math" w:cs="Courier New"/>
                <w:sz w:val="22"/>
                <w:szCs w:val="22"/>
              </w:rPr>
              <m:t>β</m:t>
            </m:r>
          </m:e>
          <m:sub>
            <m:r>
              <w:rPr>
                <w:rFonts w:ascii="Cambria Math" w:hAnsi="Cambria Math" w:cs="Courier New"/>
                <w:sz w:val="22"/>
                <w:szCs w:val="22"/>
              </w:rPr>
              <m:t>1</m:t>
            </m:r>
          </m:sub>
        </m:sSub>
        <m:r>
          <w:rPr>
            <w:rFonts w:ascii="Cambria Math" w:hAnsi="Cambria Math" w:cs="Courier New"/>
            <w:sz w:val="22"/>
            <w:szCs w:val="22"/>
          </w:rPr>
          <m:t>+</m:t>
        </m:r>
        <m:sSub>
          <m:sSubPr>
            <m:ctrlPr>
              <w:rPr>
                <w:rFonts w:ascii="Cambria Math" w:hAnsi="Cambria Math" w:cs="Courier New"/>
                <w:i/>
                <w:sz w:val="22"/>
                <w:szCs w:val="22"/>
              </w:rPr>
            </m:ctrlPr>
          </m:sSubPr>
          <m:e>
            <m:r>
              <w:rPr>
                <w:rFonts w:ascii="Cambria Math" w:hAnsi="Cambria Math" w:cs="Courier New"/>
                <w:sz w:val="22"/>
                <w:szCs w:val="22"/>
              </w:rPr>
              <m:t>β</m:t>
            </m:r>
          </m:e>
          <m:sub>
            <m:r>
              <w:rPr>
                <w:rFonts w:ascii="Cambria Math" w:hAnsi="Cambria Math" w:cs="Courier New"/>
                <w:sz w:val="22"/>
                <w:szCs w:val="22"/>
              </w:rPr>
              <m:t>2</m:t>
            </m:r>
          </m:sub>
        </m:sSub>
      </m:oMath>
      <w:r w:rsidR="00AE181D">
        <w:rPr>
          <w:rFonts w:asciiTheme="minorHAnsi" w:eastAsiaTheme="minorEastAsia" w:hAnsiTheme="minorHAnsi" w:cs="Courier New"/>
          <w:sz w:val="22"/>
          <w:szCs w:val="22"/>
        </w:rPr>
        <w:tab/>
      </w:r>
      <w:r w:rsidR="00AE181D">
        <w:rPr>
          <w:rFonts w:asciiTheme="minorHAnsi" w:eastAsiaTheme="minorEastAsia" w:hAnsiTheme="minorHAnsi" w:cs="Courier New"/>
          <w:sz w:val="22"/>
          <w:szCs w:val="22"/>
        </w:rPr>
        <w:tab/>
      </w:r>
      <w:r w:rsidR="00AE181D">
        <w:rPr>
          <w:rFonts w:asciiTheme="minorHAnsi" w:eastAsiaTheme="minorEastAsia" w:hAnsiTheme="minorHAnsi" w:cs="Courier New"/>
          <w:sz w:val="22"/>
          <w:szCs w:val="22"/>
        </w:rPr>
        <w:tab/>
      </w:r>
      <w:r w:rsidR="00AE181D">
        <w:rPr>
          <w:rFonts w:asciiTheme="minorHAnsi" w:eastAsiaTheme="minorEastAsia" w:hAnsiTheme="minorHAnsi" w:cs="Courier New"/>
          <w:sz w:val="22"/>
          <w:szCs w:val="22"/>
        </w:rPr>
        <w:tab/>
      </w:r>
      <w:r w:rsidR="00AE181D">
        <w:rPr>
          <w:rFonts w:asciiTheme="minorHAnsi" w:eastAsiaTheme="minorEastAsia" w:hAnsiTheme="minorHAnsi" w:cs="Courier New"/>
          <w:sz w:val="22"/>
          <w:szCs w:val="22"/>
        </w:rPr>
        <w:tab/>
      </w:r>
      <w:r w:rsidR="00AE181D">
        <w:rPr>
          <w:rFonts w:asciiTheme="minorHAnsi" w:eastAsiaTheme="minorEastAsia" w:hAnsiTheme="minorHAnsi" w:cs="Courier New"/>
          <w:sz w:val="22"/>
          <w:szCs w:val="22"/>
        </w:rPr>
        <w:tab/>
      </w:r>
    </w:p>
    <w:p w:rsidR="00AE181D" w:rsidRPr="00B05451" w:rsidRDefault="00AC7126" w:rsidP="00AE181D">
      <w:pPr>
        <w:pStyle w:val="PlainText"/>
        <w:spacing w:after="120" w:line="360" w:lineRule="auto"/>
        <w:jc w:val="both"/>
        <w:rPr>
          <w:rFonts w:asciiTheme="minorHAnsi" w:eastAsiaTheme="minorEastAsia" w:hAnsiTheme="minorHAnsi" w:cs="Courier New"/>
          <w:sz w:val="22"/>
          <w:szCs w:val="22"/>
        </w:rPr>
      </w:pPr>
      <m:oMathPara>
        <m:oMathParaPr>
          <m:jc m:val="left"/>
        </m:oMathParaPr>
        <m:oMath>
          <m:d>
            <m:dPr>
              <m:ctrlPr>
                <w:rPr>
                  <w:rFonts w:ascii="Cambria Math" w:hAnsi="Cambria Math" w:cs="Courier New"/>
                  <w:i/>
                  <w:sz w:val="22"/>
                  <w:szCs w:val="22"/>
                </w:rPr>
              </m:ctrlPr>
            </m:dPr>
            <m:e>
              <m:r>
                <w:rPr>
                  <w:rFonts w:ascii="Cambria Math" w:hAnsi="Cambria Math" w:cs="Courier New"/>
                  <w:sz w:val="22"/>
                  <w:szCs w:val="22"/>
                </w:rPr>
                <m:t>5</m:t>
              </m:r>
            </m:e>
          </m:d>
          <m:r>
            <w:rPr>
              <w:rFonts w:ascii="Cambria Math" w:hAnsi="Cambria Math" w:cs="Courier New"/>
              <w:sz w:val="22"/>
              <w:szCs w:val="22"/>
            </w:rPr>
            <m:t xml:space="preserve">    E(</m:t>
          </m:r>
          <m:sSub>
            <m:sSubPr>
              <m:ctrlPr>
                <w:rPr>
                  <w:rFonts w:ascii="Cambria Math" w:hAnsi="Cambria Math" w:cs="Courier New"/>
                  <w:i/>
                  <w:sz w:val="22"/>
                  <w:szCs w:val="22"/>
                </w:rPr>
              </m:ctrlPr>
            </m:sSubPr>
            <m:e>
              <m:r>
                <w:rPr>
                  <w:rFonts w:ascii="Cambria Math" w:hAnsi="Cambria Math" w:cs="Courier New"/>
                  <w:sz w:val="22"/>
                  <w:szCs w:val="22"/>
                </w:rPr>
                <m:t>FDI</m:t>
              </m:r>
            </m:e>
            <m:sub>
              <m:r>
                <w:rPr>
                  <w:rFonts w:ascii="Cambria Math" w:hAnsi="Cambria Math" w:cs="Courier New"/>
                  <w:sz w:val="22"/>
                  <w:szCs w:val="22"/>
                </w:rPr>
                <m:t>ijt</m:t>
              </m:r>
            </m:sub>
          </m:sSub>
          <m:r>
            <w:rPr>
              <w:rFonts w:ascii="Cambria Math" w:hAnsi="Cambria Math" w:cs="Courier New"/>
              <w:sz w:val="22"/>
              <w:szCs w:val="22"/>
            </w:rPr>
            <m:t>|</m:t>
          </m:r>
          <m:sSub>
            <m:sSubPr>
              <m:ctrlPr>
                <w:rPr>
                  <w:rFonts w:ascii="Cambria Math" w:hAnsi="Cambria Math" w:cs="Courier New"/>
                  <w:i/>
                  <w:sz w:val="22"/>
                  <w:szCs w:val="22"/>
                </w:rPr>
              </m:ctrlPr>
            </m:sSubPr>
            <m:e>
              <m:r>
                <w:rPr>
                  <w:rFonts w:ascii="Cambria Math" w:hAnsi="Cambria Math" w:cs="Courier New"/>
                  <w:sz w:val="22"/>
                  <w:szCs w:val="22"/>
                </w:rPr>
                <m:t>B</m:t>
              </m:r>
            </m:e>
            <m:sub>
              <m:r>
                <w:rPr>
                  <w:rFonts w:ascii="Cambria Math" w:hAnsi="Cambria Math" w:cs="Courier New"/>
                  <w:sz w:val="22"/>
                  <w:szCs w:val="22"/>
                </w:rPr>
                <m:t>strong</m:t>
              </m:r>
            </m:sub>
          </m:sSub>
          <m:r>
            <w:rPr>
              <w:rFonts w:ascii="Cambria Math" w:hAnsi="Cambria Math" w:cs="Courier New"/>
              <w:sz w:val="22"/>
              <w:szCs w:val="22"/>
            </w:rPr>
            <m:t>=1)=</m:t>
          </m:r>
          <m:sSub>
            <m:sSubPr>
              <m:ctrlPr>
                <w:rPr>
                  <w:rFonts w:ascii="Cambria Math" w:hAnsi="Cambria Math" w:cs="Courier New"/>
                  <w:i/>
                  <w:sz w:val="22"/>
                  <w:szCs w:val="22"/>
                </w:rPr>
              </m:ctrlPr>
            </m:sSubPr>
            <m:e>
              <m:r>
                <w:rPr>
                  <w:rFonts w:ascii="Cambria Math" w:hAnsi="Cambria Math" w:cs="Courier New"/>
                  <w:sz w:val="22"/>
                  <w:szCs w:val="22"/>
                </w:rPr>
                <m:t>β</m:t>
              </m:r>
            </m:e>
            <m:sub>
              <m:r>
                <w:rPr>
                  <w:rFonts w:ascii="Cambria Math" w:hAnsi="Cambria Math" w:cs="Courier New"/>
                  <w:sz w:val="22"/>
                  <w:szCs w:val="22"/>
                </w:rPr>
                <m:t>1</m:t>
              </m:r>
            </m:sub>
          </m:sSub>
          <m:r>
            <w:rPr>
              <w:rFonts w:ascii="Cambria Math" w:hAnsi="Cambria Math" w:cs="Courier New"/>
              <w:sz w:val="22"/>
              <w:szCs w:val="22"/>
            </w:rPr>
            <m:t>+</m:t>
          </m:r>
          <m:sSub>
            <m:sSubPr>
              <m:ctrlPr>
                <w:rPr>
                  <w:rFonts w:ascii="Cambria Math" w:hAnsi="Cambria Math" w:cs="Courier New"/>
                  <w:i/>
                  <w:sz w:val="22"/>
                  <w:szCs w:val="22"/>
                </w:rPr>
              </m:ctrlPr>
            </m:sSubPr>
            <m:e>
              <m:r>
                <w:rPr>
                  <w:rFonts w:ascii="Cambria Math" w:hAnsi="Cambria Math" w:cs="Courier New"/>
                  <w:sz w:val="22"/>
                  <w:szCs w:val="22"/>
                </w:rPr>
                <m:t>β</m:t>
              </m:r>
            </m:e>
            <m:sub>
              <m:r>
                <w:rPr>
                  <w:rFonts w:ascii="Cambria Math" w:hAnsi="Cambria Math" w:cs="Courier New"/>
                  <w:sz w:val="22"/>
                  <w:szCs w:val="22"/>
                </w:rPr>
                <m:t>2</m:t>
              </m:r>
            </m:sub>
          </m:sSub>
          <m:r>
            <w:rPr>
              <w:rFonts w:ascii="Cambria Math" w:hAnsi="Cambria Math" w:cs="Courier New"/>
              <w:sz w:val="22"/>
              <w:szCs w:val="22"/>
            </w:rPr>
            <m:t>+</m:t>
          </m:r>
          <m:sSub>
            <m:sSubPr>
              <m:ctrlPr>
                <w:rPr>
                  <w:rFonts w:ascii="Cambria Math" w:hAnsi="Cambria Math" w:cs="Courier New"/>
                  <w:i/>
                  <w:sz w:val="22"/>
                  <w:szCs w:val="22"/>
                </w:rPr>
              </m:ctrlPr>
            </m:sSubPr>
            <m:e>
              <m:r>
                <w:rPr>
                  <w:rFonts w:ascii="Cambria Math" w:hAnsi="Cambria Math" w:cs="Courier New"/>
                  <w:sz w:val="22"/>
                  <w:szCs w:val="22"/>
                </w:rPr>
                <m:t>β</m:t>
              </m:r>
            </m:e>
            <m:sub>
              <m:r>
                <w:rPr>
                  <w:rFonts w:ascii="Cambria Math" w:hAnsi="Cambria Math" w:cs="Courier New"/>
                  <w:sz w:val="22"/>
                  <w:szCs w:val="22"/>
                </w:rPr>
                <m:t>3</m:t>
              </m:r>
            </m:sub>
          </m:sSub>
          <m:r>
            <w:rPr>
              <w:rFonts w:ascii="Cambria Math" w:hAnsi="Cambria Math" w:cs="Courier New"/>
              <w:sz w:val="22"/>
              <w:szCs w:val="22"/>
            </w:rPr>
            <m:t>+</m:t>
          </m:r>
          <m:sSub>
            <m:sSubPr>
              <m:ctrlPr>
                <w:rPr>
                  <w:rFonts w:ascii="Cambria Math" w:hAnsi="Cambria Math" w:cs="Courier New"/>
                  <w:i/>
                  <w:sz w:val="22"/>
                  <w:szCs w:val="22"/>
                </w:rPr>
              </m:ctrlPr>
            </m:sSubPr>
            <m:e>
              <m:r>
                <w:rPr>
                  <w:rFonts w:ascii="Cambria Math" w:hAnsi="Cambria Math" w:cs="Courier New"/>
                  <w:sz w:val="22"/>
                  <w:szCs w:val="22"/>
                </w:rPr>
                <m:t>β</m:t>
              </m:r>
            </m:e>
            <m:sub>
              <m:r>
                <w:rPr>
                  <w:rFonts w:ascii="Cambria Math" w:hAnsi="Cambria Math" w:cs="Courier New"/>
                  <w:sz w:val="22"/>
                  <w:szCs w:val="22"/>
                </w:rPr>
                <m:t>4</m:t>
              </m:r>
            </m:sub>
          </m:sSub>
          <m:r>
            <w:rPr>
              <w:rFonts w:ascii="Cambria Math" w:hAnsi="Cambria Math" w:cs="Courier New"/>
              <w:sz w:val="22"/>
              <w:szCs w:val="22"/>
            </w:rPr>
            <m:t>+</m:t>
          </m:r>
          <m:sSub>
            <m:sSubPr>
              <m:ctrlPr>
                <w:rPr>
                  <w:rFonts w:ascii="Cambria Math" w:hAnsi="Cambria Math" w:cs="Courier New"/>
                  <w:i/>
                  <w:sz w:val="22"/>
                  <w:szCs w:val="22"/>
                </w:rPr>
              </m:ctrlPr>
            </m:sSubPr>
            <m:e>
              <m:r>
                <w:rPr>
                  <w:rFonts w:ascii="Cambria Math" w:hAnsi="Cambria Math" w:cs="Courier New"/>
                  <w:sz w:val="22"/>
                  <w:szCs w:val="22"/>
                </w:rPr>
                <m:t>β</m:t>
              </m:r>
            </m:e>
            <m:sub>
              <m:r>
                <w:rPr>
                  <w:rFonts w:ascii="Cambria Math" w:hAnsi="Cambria Math" w:cs="Courier New"/>
                  <w:sz w:val="22"/>
                  <w:szCs w:val="22"/>
                </w:rPr>
                <m:t>5</m:t>
              </m:r>
            </m:sub>
          </m:sSub>
        </m:oMath>
      </m:oMathPara>
    </w:p>
    <w:p w:rsidR="00B05451" w:rsidRPr="0062322A" w:rsidRDefault="00B05451" w:rsidP="00AE181D">
      <w:pPr>
        <w:pStyle w:val="PlainText"/>
        <w:spacing w:after="120" w:line="360" w:lineRule="auto"/>
        <w:jc w:val="both"/>
        <w:rPr>
          <w:rFonts w:asciiTheme="minorHAnsi" w:eastAsiaTheme="minorEastAsia" w:hAnsiTheme="minorHAnsi" w:cs="Courier New"/>
          <w:sz w:val="22"/>
          <w:szCs w:val="22"/>
        </w:rPr>
      </w:pPr>
    </w:p>
    <w:p w:rsidR="002859D8" w:rsidRPr="00FA16EB" w:rsidRDefault="00422C14" w:rsidP="002859D8">
      <w:pPr>
        <w:pStyle w:val="PlainText"/>
        <w:numPr>
          <w:ilvl w:val="0"/>
          <w:numId w:val="2"/>
        </w:numPr>
        <w:spacing w:line="360" w:lineRule="auto"/>
        <w:jc w:val="both"/>
        <w:rPr>
          <w:rFonts w:asciiTheme="minorHAnsi" w:hAnsiTheme="minorHAnsi" w:cs="Courier New"/>
          <w:b/>
          <w:sz w:val="22"/>
          <w:szCs w:val="22"/>
        </w:rPr>
      </w:pPr>
      <w:r>
        <w:rPr>
          <w:rFonts w:asciiTheme="minorHAnsi" w:hAnsiTheme="minorHAnsi" w:cs="Courier New"/>
          <w:b/>
          <w:sz w:val="22"/>
          <w:szCs w:val="22"/>
        </w:rPr>
        <w:lastRenderedPageBreak/>
        <w:t>Results</w:t>
      </w:r>
    </w:p>
    <w:p w:rsidR="00B05451" w:rsidRDefault="00B05451" w:rsidP="00B05451">
      <w:pPr>
        <w:pStyle w:val="PlainText"/>
        <w:spacing w:line="360" w:lineRule="auto"/>
        <w:jc w:val="both"/>
        <w:rPr>
          <w:rFonts w:asciiTheme="minorHAnsi" w:hAnsiTheme="minorHAnsi" w:cs="Courier New"/>
          <w:sz w:val="22"/>
          <w:szCs w:val="22"/>
        </w:rPr>
      </w:pPr>
      <w:r>
        <w:rPr>
          <w:rFonts w:asciiTheme="minorHAnsi" w:hAnsiTheme="minorHAnsi" w:cs="Courier New"/>
          <w:sz w:val="22"/>
          <w:szCs w:val="22"/>
        </w:rPr>
        <w:t>Table 2 shows some preliminary results of simple regressions of BITs and ISDS provisions on FDI, using the gravity model framework and controlling for the levels of GDP only. Column (1) shows a similar r</w:t>
      </w:r>
      <w:r>
        <w:rPr>
          <w:rFonts w:asciiTheme="minorHAnsi" w:hAnsiTheme="minorHAnsi" w:cs="Courier New"/>
          <w:sz w:val="22"/>
          <w:szCs w:val="22"/>
        </w:rPr>
        <w:t>e</w:t>
      </w:r>
      <w:r>
        <w:rPr>
          <w:rFonts w:asciiTheme="minorHAnsi" w:hAnsiTheme="minorHAnsi" w:cs="Courier New"/>
          <w:sz w:val="22"/>
          <w:szCs w:val="22"/>
        </w:rPr>
        <w:t>sult found elsewhere, as BITs do not have a statistically significant impact on FDI. We present this si</w:t>
      </w:r>
      <w:r>
        <w:rPr>
          <w:rFonts w:asciiTheme="minorHAnsi" w:hAnsiTheme="minorHAnsi" w:cs="Courier New"/>
          <w:sz w:val="22"/>
          <w:szCs w:val="22"/>
        </w:rPr>
        <w:t>m</w:t>
      </w:r>
      <w:r>
        <w:rPr>
          <w:rFonts w:asciiTheme="minorHAnsi" w:hAnsiTheme="minorHAnsi" w:cs="Courier New"/>
          <w:sz w:val="22"/>
          <w:szCs w:val="22"/>
        </w:rPr>
        <w:t>ple regression as a point for departure. Column (2) adds the presence of ISDS in the BITs. The diffe</w:t>
      </w:r>
      <w:r>
        <w:rPr>
          <w:rFonts w:asciiTheme="minorHAnsi" w:hAnsiTheme="minorHAnsi" w:cs="Courier New"/>
          <w:sz w:val="22"/>
          <w:szCs w:val="22"/>
        </w:rPr>
        <w:t>r</w:t>
      </w:r>
      <w:r>
        <w:rPr>
          <w:rFonts w:asciiTheme="minorHAnsi" w:hAnsiTheme="minorHAnsi" w:cs="Courier New"/>
          <w:sz w:val="22"/>
          <w:szCs w:val="22"/>
        </w:rPr>
        <w:t>ence is striking: it suggests that having a BIT without any ISDS measure has a negative impact on FDI flows. However, we would caution against reading too much into this result due to the small sam</w:t>
      </w:r>
      <w:r w:rsidR="00E65BDC">
        <w:rPr>
          <w:rFonts w:asciiTheme="minorHAnsi" w:hAnsiTheme="minorHAnsi" w:cs="Courier New"/>
          <w:sz w:val="22"/>
          <w:szCs w:val="22"/>
        </w:rPr>
        <w:t>ple of BITs without ISDS (see T</w:t>
      </w:r>
      <w:r>
        <w:rPr>
          <w:rFonts w:asciiTheme="minorHAnsi" w:hAnsiTheme="minorHAnsi" w:cs="Courier New"/>
          <w:sz w:val="22"/>
          <w:szCs w:val="22"/>
        </w:rPr>
        <w:t xml:space="preserve">able 1). Columns (3) to (5) differentiate the </w:t>
      </w:r>
      <w:r w:rsidR="00E65BDC">
        <w:rPr>
          <w:rFonts w:asciiTheme="minorHAnsi" w:hAnsiTheme="minorHAnsi" w:cs="Courier New"/>
          <w:sz w:val="22"/>
          <w:szCs w:val="22"/>
        </w:rPr>
        <w:t>BITs</w:t>
      </w:r>
      <w:r>
        <w:rPr>
          <w:rFonts w:asciiTheme="minorHAnsi" w:hAnsiTheme="minorHAnsi" w:cs="Courier New"/>
          <w:sz w:val="22"/>
          <w:szCs w:val="22"/>
        </w:rPr>
        <w:t xml:space="preserve"> by the type of </w:t>
      </w:r>
      <w:r w:rsidR="00E65BDC">
        <w:rPr>
          <w:rFonts w:asciiTheme="minorHAnsi" w:hAnsiTheme="minorHAnsi" w:cs="Courier New"/>
          <w:sz w:val="22"/>
          <w:szCs w:val="22"/>
        </w:rPr>
        <w:t xml:space="preserve">ISDS </w:t>
      </w:r>
      <w:r>
        <w:rPr>
          <w:rFonts w:asciiTheme="minorHAnsi" w:hAnsiTheme="minorHAnsi" w:cs="Courier New"/>
          <w:sz w:val="22"/>
          <w:szCs w:val="22"/>
        </w:rPr>
        <w:t>provisions contained.</w:t>
      </w:r>
      <w:r w:rsidRPr="00CA5846">
        <w:rPr>
          <w:rFonts w:asciiTheme="minorHAnsi" w:hAnsiTheme="minorHAnsi" w:cs="Courier New"/>
          <w:sz w:val="22"/>
          <w:szCs w:val="22"/>
        </w:rPr>
        <w:t xml:space="preserve"> </w:t>
      </w:r>
      <w:r>
        <w:rPr>
          <w:rFonts w:asciiTheme="minorHAnsi" w:hAnsiTheme="minorHAnsi" w:cs="Courier New"/>
          <w:sz w:val="22"/>
          <w:szCs w:val="22"/>
        </w:rPr>
        <w:t xml:space="preserve">BITs are shown to have a positive impact, but the overall effects of the provisions in the BITs are insignificant. In column (6) we include an interaction term between ISDS with binding rules </w:t>
      </w:r>
      <w:r w:rsidRPr="004E00E7">
        <w:rPr>
          <w:rFonts w:asciiTheme="minorHAnsi" w:hAnsiTheme="minorHAnsi" w:cs="Courier New"/>
          <w:sz w:val="22"/>
          <w:szCs w:val="22"/>
        </w:rPr>
        <w:t>(</w:t>
      </w:r>
      <w:r w:rsidRPr="004D6FC5">
        <w:rPr>
          <w:rFonts w:ascii="Gill Sans MT" w:eastAsia="Times New Roman" w:hAnsi="Gill Sans MT" w:cs="Times New Roman"/>
          <w:i/>
          <w:iCs/>
          <w:color w:val="000000"/>
          <w:lang w:eastAsia="en-GB"/>
        </w:rPr>
        <w:t>ISDS_Bin</w:t>
      </w:r>
      <w:r w:rsidRPr="004D6FC5">
        <w:rPr>
          <w:rFonts w:ascii="Gill Sans MT" w:eastAsia="Times New Roman" w:hAnsi="Gill Sans MT" w:cs="Times New Roman"/>
          <w:i/>
          <w:iCs/>
          <w:color w:val="000000"/>
          <w:vertAlign w:val="subscript"/>
          <w:lang w:eastAsia="en-GB"/>
        </w:rPr>
        <w:t>ijt</w:t>
      </w:r>
      <w:r w:rsidRPr="004E00E7">
        <w:rPr>
          <w:rFonts w:asciiTheme="minorHAnsi" w:hAnsiTheme="minorHAnsi" w:cs="Courier New"/>
          <w:sz w:val="22"/>
          <w:szCs w:val="22"/>
        </w:rPr>
        <w:t xml:space="preserve">) </w:t>
      </w:r>
      <w:r>
        <w:rPr>
          <w:rFonts w:asciiTheme="minorHAnsi" w:hAnsiTheme="minorHAnsi" w:cs="Courier New"/>
          <w:sz w:val="22"/>
          <w:szCs w:val="22"/>
        </w:rPr>
        <w:t xml:space="preserve">and unrestricted claims coverage </w:t>
      </w:r>
      <w:r w:rsidRPr="004E00E7">
        <w:rPr>
          <w:rFonts w:asciiTheme="minorHAnsi" w:hAnsiTheme="minorHAnsi" w:cs="Courier New"/>
          <w:sz w:val="22"/>
          <w:szCs w:val="22"/>
        </w:rPr>
        <w:t>(</w:t>
      </w:r>
      <w:r w:rsidRPr="004D6FC5">
        <w:rPr>
          <w:rFonts w:ascii="Gill Sans MT" w:eastAsia="Times New Roman" w:hAnsi="Gill Sans MT" w:cs="Times New Roman"/>
          <w:i/>
          <w:iCs/>
          <w:color w:val="000000"/>
          <w:lang w:eastAsia="en-GB"/>
        </w:rPr>
        <w:t>ISDS_Unre</w:t>
      </w:r>
      <w:r w:rsidRPr="004D6FC5">
        <w:rPr>
          <w:rFonts w:ascii="Gill Sans MT" w:eastAsia="Times New Roman" w:hAnsi="Gill Sans MT" w:cs="Times New Roman"/>
          <w:i/>
          <w:iCs/>
          <w:color w:val="000000"/>
          <w:vertAlign w:val="subscript"/>
          <w:lang w:eastAsia="en-GB"/>
        </w:rPr>
        <w:t>ijt</w:t>
      </w:r>
      <w:r w:rsidRPr="004E00E7">
        <w:rPr>
          <w:rFonts w:asciiTheme="minorHAnsi" w:hAnsiTheme="minorHAnsi" w:cs="Courier New"/>
          <w:sz w:val="22"/>
          <w:szCs w:val="22"/>
        </w:rPr>
        <w:t>)</w:t>
      </w:r>
      <w:r w:rsidR="00E65BDC">
        <w:rPr>
          <w:rFonts w:asciiTheme="minorHAnsi" w:hAnsiTheme="minorHAnsi" w:cs="Courier New"/>
          <w:sz w:val="22"/>
          <w:szCs w:val="22"/>
        </w:rPr>
        <w:t>,</w:t>
      </w:r>
      <w:r>
        <w:rPr>
          <w:rFonts w:asciiTheme="minorHAnsi" w:hAnsiTheme="minorHAnsi" w:cs="Courier New"/>
          <w:sz w:val="22"/>
          <w:szCs w:val="22"/>
        </w:rPr>
        <w:t xml:space="preserve"> which has a positive and significant impact on FDI.</w:t>
      </w:r>
    </w:p>
    <w:tbl>
      <w:tblPr>
        <w:tblW w:w="9292" w:type="dxa"/>
        <w:tblInd w:w="93" w:type="dxa"/>
        <w:tblLook w:val="04A0" w:firstRow="1" w:lastRow="0" w:firstColumn="1" w:lastColumn="0" w:noHBand="0" w:noVBand="1"/>
      </w:tblPr>
      <w:tblGrid>
        <w:gridCol w:w="2692"/>
        <w:gridCol w:w="988"/>
        <w:gridCol w:w="1036"/>
        <w:gridCol w:w="1144"/>
        <w:gridCol w:w="1144"/>
        <w:gridCol w:w="1144"/>
        <w:gridCol w:w="1144"/>
      </w:tblGrid>
      <w:tr w:rsidR="002859D8" w:rsidRPr="009E0BB4" w:rsidTr="00B05451">
        <w:trPr>
          <w:trHeight w:val="251"/>
        </w:trPr>
        <w:tc>
          <w:tcPr>
            <w:tcW w:w="9292" w:type="dxa"/>
            <w:gridSpan w:val="7"/>
            <w:tcBorders>
              <w:top w:val="nil"/>
              <w:left w:val="nil"/>
              <w:bottom w:val="nil"/>
              <w:right w:val="nil"/>
            </w:tcBorders>
            <w:shd w:val="clear" w:color="000000" w:fill="F2DCDB"/>
            <w:vAlign w:val="center"/>
            <w:hideMark/>
          </w:tcPr>
          <w:p w:rsidR="002859D8" w:rsidRPr="009E0BB4" w:rsidRDefault="002859D8" w:rsidP="00B05451">
            <w:pPr>
              <w:spacing w:after="0" w:line="240" w:lineRule="auto"/>
              <w:rPr>
                <w:rFonts w:ascii="Gill Sans MT" w:eastAsia="Times New Roman" w:hAnsi="Gill Sans MT" w:cs="Times New Roman"/>
                <w:color w:val="953735"/>
                <w:sz w:val="24"/>
                <w:szCs w:val="24"/>
                <w:lang w:eastAsia="en-GB"/>
              </w:rPr>
            </w:pPr>
            <w:r>
              <w:rPr>
                <w:rFonts w:ascii="Gill Sans MT" w:eastAsia="Times New Roman" w:hAnsi="Gill Sans MT" w:cs="Times New Roman"/>
                <w:color w:val="953735"/>
                <w:sz w:val="24"/>
                <w:szCs w:val="24"/>
                <w:lang w:eastAsia="en-GB"/>
              </w:rPr>
              <w:t>Table 2</w:t>
            </w:r>
            <w:r w:rsidRPr="009E0BB4">
              <w:rPr>
                <w:rFonts w:ascii="Gill Sans MT" w:eastAsia="Times New Roman" w:hAnsi="Gill Sans MT" w:cs="Times New Roman"/>
                <w:color w:val="953735"/>
                <w:sz w:val="24"/>
                <w:szCs w:val="24"/>
                <w:lang w:eastAsia="en-GB"/>
              </w:rPr>
              <w:t>. PPML Estimation for the Effect of BITs on FDI in OECD Countries</w:t>
            </w:r>
          </w:p>
        </w:tc>
      </w:tr>
      <w:tr w:rsidR="002859D8" w:rsidRPr="009E0BB4" w:rsidTr="00B05451">
        <w:trPr>
          <w:trHeight w:val="241"/>
        </w:trPr>
        <w:tc>
          <w:tcPr>
            <w:tcW w:w="2692" w:type="dxa"/>
            <w:vMerge w:val="restart"/>
            <w:tcBorders>
              <w:top w:val="nil"/>
              <w:left w:val="nil"/>
              <w:bottom w:val="single" w:sz="12" w:space="0" w:color="AA273E"/>
              <w:right w:val="nil"/>
            </w:tcBorders>
            <w:shd w:val="clear" w:color="auto" w:fill="auto"/>
            <w:noWrap/>
            <w:vAlign w:val="center"/>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Independent Variables:</w:t>
            </w:r>
          </w:p>
        </w:tc>
        <w:tc>
          <w:tcPr>
            <w:tcW w:w="6600" w:type="dxa"/>
            <w:gridSpan w:val="6"/>
            <w:tcBorders>
              <w:top w:val="nil"/>
              <w:left w:val="nil"/>
              <w:bottom w:val="nil"/>
              <w:right w:val="nil"/>
            </w:tcBorders>
            <w:shd w:val="clear" w:color="auto" w:fill="auto"/>
            <w:noWrap/>
            <w:vAlign w:val="center"/>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Dependent Variable: FDI</w:t>
            </w:r>
            <w:r w:rsidRPr="009E0BB4">
              <w:rPr>
                <w:rFonts w:ascii="Gill Sans MT" w:eastAsia="Times New Roman" w:hAnsi="Gill Sans MT" w:cs="Times New Roman"/>
                <w:color w:val="000000"/>
                <w:vertAlign w:val="subscript"/>
                <w:lang w:eastAsia="en-GB"/>
              </w:rPr>
              <w:t>ijt</w:t>
            </w:r>
          </w:p>
        </w:tc>
      </w:tr>
      <w:tr w:rsidR="002859D8" w:rsidRPr="009E0BB4" w:rsidTr="00B05451">
        <w:trPr>
          <w:trHeight w:val="231"/>
        </w:trPr>
        <w:tc>
          <w:tcPr>
            <w:tcW w:w="2692" w:type="dxa"/>
            <w:vMerge/>
            <w:tcBorders>
              <w:top w:val="nil"/>
              <w:left w:val="nil"/>
              <w:bottom w:val="single" w:sz="8" w:space="0" w:color="AA273E"/>
              <w:right w:val="nil"/>
            </w:tcBorders>
            <w:vAlign w:val="center"/>
            <w:hideMark/>
          </w:tcPr>
          <w:p w:rsidR="002859D8" w:rsidRPr="009E0BB4" w:rsidRDefault="002859D8" w:rsidP="00B05451">
            <w:pPr>
              <w:spacing w:after="0" w:line="240" w:lineRule="auto"/>
              <w:rPr>
                <w:rFonts w:ascii="Gill Sans MT" w:eastAsia="Times New Roman" w:hAnsi="Gill Sans MT" w:cs="Times New Roman"/>
                <w:color w:val="000000"/>
                <w:lang w:eastAsia="en-GB"/>
              </w:rPr>
            </w:pPr>
          </w:p>
        </w:tc>
        <w:tc>
          <w:tcPr>
            <w:tcW w:w="988" w:type="dxa"/>
            <w:tcBorders>
              <w:top w:val="nil"/>
              <w:left w:val="nil"/>
              <w:bottom w:val="single" w:sz="8" w:space="0" w:color="AA273E"/>
              <w:right w:val="nil"/>
            </w:tcBorders>
            <w:shd w:val="clear" w:color="auto" w:fill="auto"/>
            <w:noWrap/>
            <w:vAlign w:val="center"/>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(1)</w:t>
            </w:r>
          </w:p>
        </w:tc>
        <w:tc>
          <w:tcPr>
            <w:tcW w:w="1036" w:type="dxa"/>
            <w:tcBorders>
              <w:top w:val="nil"/>
              <w:left w:val="nil"/>
              <w:bottom w:val="single" w:sz="8" w:space="0" w:color="AA273E"/>
              <w:right w:val="nil"/>
            </w:tcBorders>
            <w:shd w:val="clear" w:color="auto" w:fill="auto"/>
            <w:noWrap/>
            <w:vAlign w:val="center"/>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(2)</w:t>
            </w:r>
          </w:p>
        </w:tc>
        <w:tc>
          <w:tcPr>
            <w:tcW w:w="1144" w:type="dxa"/>
            <w:tcBorders>
              <w:top w:val="nil"/>
              <w:left w:val="nil"/>
              <w:bottom w:val="single" w:sz="8" w:space="0" w:color="AA273E"/>
              <w:right w:val="nil"/>
            </w:tcBorders>
            <w:shd w:val="clear" w:color="auto" w:fill="auto"/>
            <w:noWrap/>
            <w:vAlign w:val="center"/>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(3)</w:t>
            </w:r>
          </w:p>
        </w:tc>
        <w:tc>
          <w:tcPr>
            <w:tcW w:w="1144" w:type="dxa"/>
            <w:tcBorders>
              <w:top w:val="nil"/>
              <w:left w:val="nil"/>
              <w:bottom w:val="single" w:sz="8" w:space="0" w:color="AA273E"/>
              <w:right w:val="nil"/>
            </w:tcBorders>
            <w:shd w:val="clear" w:color="auto" w:fill="auto"/>
            <w:noWrap/>
            <w:vAlign w:val="center"/>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(4)</w:t>
            </w:r>
          </w:p>
        </w:tc>
        <w:tc>
          <w:tcPr>
            <w:tcW w:w="1144" w:type="dxa"/>
            <w:tcBorders>
              <w:top w:val="nil"/>
              <w:left w:val="nil"/>
              <w:bottom w:val="single" w:sz="8" w:space="0" w:color="AA273E"/>
              <w:right w:val="nil"/>
            </w:tcBorders>
            <w:shd w:val="clear" w:color="auto" w:fill="auto"/>
            <w:noWrap/>
            <w:vAlign w:val="center"/>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(5)</w:t>
            </w:r>
          </w:p>
        </w:tc>
        <w:tc>
          <w:tcPr>
            <w:tcW w:w="1144" w:type="dxa"/>
            <w:tcBorders>
              <w:top w:val="nil"/>
              <w:left w:val="nil"/>
              <w:bottom w:val="single" w:sz="8" w:space="0" w:color="AA273E"/>
              <w:right w:val="nil"/>
            </w:tcBorders>
            <w:shd w:val="clear" w:color="auto" w:fill="auto"/>
            <w:noWrap/>
            <w:vAlign w:val="center"/>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(6)</w:t>
            </w:r>
          </w:p>
        </w:tc>
      </w:tr>
      <w:tr w:rsidR="002859D8" w:rsidRPr="009E0BB4" w:rsidTr="00B05451">
        <w:trPr>
          <w:trHeight w:val="231"/>
        </w:trPr>
        <w:tc>
          <w:tcPr>
            <w:tcW w:w="2692" w:type="dxa"/>
            <w:vMerge w:val="restart"/>
            <w:tcBorders>
              <w:top w:val="single" w:sz="8" w:space="0" w:color="AA273E"/>
              <w:left w:val="nil"/>
              <w:bottom w:val="nil"/>
              <w:right w:val="nil"/>
            </w:tcBorders>
            <w:shd w:val="clear" w:color="auto" w:fill="auto"/>
            <w:noWrap/>
            <w:vAlign w:val="center"/>
            <w:hideMark/>
          </w:tcPr>
          <w:p w:rsidR="002859D8" w:rsidRPr="009E0BB4" w:rsidRDefault="002859D8" w:rsidP="00B05451">
            <w:pPr>
              <w:spacing w:after="0" w:line="240" w:lineRule="auto"/>
              <w:rPr>
                <w:rFonts w:ascii="Gill Sans MT" w:eastAsia="Times New Roman" w:hAnsi="Gill Sans MT" w:cs="Times New Roman"/>
                <w:i/>
                <w:iCs/>
                <w:color w:val="000000"/>
                <w:lang w:eastAsia="en-GB"/>
              </w:rPr>
            </w:pPr>
            <w:r w:rsidRPr="009E0BB4">
              <w:rPr>
                <w:rFonts w:ascii="Gill Sans MT" w:eastAsia="Times New Roman" w:hAnsi="Gill Sans MT" w:cs="Times New Roman"/>
                <w:i/>
                <w:iCs/>
                <w:color w:val="000000"/>
                <w:lang w:eastAsia="en-GB"/>
              </w:rPr>
              <w:t>BIT</w:t>
            </w:r>
            <w:r w:rsidRPr="009E0BB4">
              <w:rPr>
                <w:rFonts w:ascii="Gill Sans MT" w:eastAsia="Times New Roman" w:hAnsi="Gill Sans MT" w:cs="Times New Roman"/>
                <w:i/>
                <w:iCs/>
                <w:color w:val="000000"/>
                <w:vertAlign w:val="subscript"/>
                <w:lang w:eastAsia="en-GB"/>
              </w:rPr>
              <w:t>ijt</w:t>
            </w:r>
          </w:p>
        </w:tc>
        <w:tc>
          <w:tcPr>
            <w:tcW w:w="988" w:type="dxa"/>
            <w:tcBorders>
              <w:top w:val="single" w:sz="8" w:space="0" w:color="AA273E"/>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-0.0534</w:t>
            </w:r>
          </w:p>
        </w:tc>
        <w:tc>
          <w:tcPr>
            <w:tcW w:w="1036" w:type="dxa"/>
            <w:tcBorders>
              <w:top w:val="single" w:sz="8" w:space="0" w:color="AA273E"/>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-3.507**</w:t>
            </w:r>
          </w:p>
        </w:tc>
        <w:tc>
          <w:tcPr>
            <w:tcW w:w="1144" w:type="dxa"/>
            <w:tcBorders>
              <w:top w:val="single" w:sz="8" w:space="0" w:color="AA273E"/>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2.510***</w:t>
            </w:r>
          </w:p>
        </w:tc>
        <w:tc>
          <w:tcPr>
            <w:tcW w:w="1144" w:type="dxa"/>
            <w:tcBorders>
              <w:top w:val="single" w:sz="8" w:space="0" w:color="AA273E"/>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2.513***</w:t>
            </w:r>
          </w:p>
        </w:tc>
        <w:tc>
          <w:tcPr>
            <w:tcW w:w="1144" w:type="dxa"/>
            <w:tcBorders>
              <w:top w:val="single" w:sz="8" w:space="0" w:color="AA273E"/>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2.498***</w:t>
            </w:r>
          </w:p>
        </w:tc>
        <w:tc>
          <w:tcPr>
            <w:tcW w:w="1144" w:type="dxa"/>
            <w:tcBorders>
              <w:top w:val="single" w:sz="8" w:space="0" w:color="AA273E"/>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3.021***</w:t>
            </w:r>
          </w:p>
        </w:tc>
      </w:tr>
      <w:tr w:rsidR="002859D8" w:rsidRPr="009E0BB4" w:rsidTr="00B05451">
        <w:trPr>
          <w:trHeight w:val="222"/>
        </w:trPr>
        <w:tc>
          <w:tcPr>
            <w:tcW w:w="2692" w:type="dxa"/>
            <w:vMerge/>
            <w:tcBorders>
              <w:top w:val="single" w:sz="12" w:space="0" w:color="AA273E"/>
              <w:left w:val="nil"/>
              <w:bottom w:val="nil"/>
              <w:right w:val="nil"/>
            </w:tcBorders>
            <w:vAlign w:val="center"/>
            <w:hideMark/>
          </w:tcPr>
          <w:p w:rsidR="002859D8" w:rsidRPr="009E0BB4" w:rsidRDefault="002859D8" w:rsidP="00B05451">
            <w:pPr>
              <w:spacing w:after="0" w:line="240" w:lineRule="auto"/>
              <w:rPr>
                <w:rFonts w:ascii="Gill Sans MT" w:eastAsia="Times New Roman" w:hAnsi="Gill Sans MT" w:cs="Times New Roman"/>
                <w:i/>
                <w:iCs/>
                <w:color w:val="000000"/>
                <w:lang w:eastAsia="en-GB"/>
              </w:rPr>
            </w:pPr>
          </w:p>
        </w:tc>
        <w:tc>
          <w:tcPr>
            <w:tcW w:w="988"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(0.171)</w:t>
            </w:r>
          </w:p>
        </w:tc>
        <w:tc>
          <w:tcPr>
            <w:tcW w:w="1036"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(1.785)</w:t>
            </w:r>
          </w:p>
        </w:tc>
        <w:tc>
          <w:tcPr>
            <w:tcW w:w="1144"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(0.619)</w:t>
            </w:r>
          </w:p>
        </w:tc>
        <w:tc>
          <w:tcPr>
            <w:tcW w:w="1144"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(0.678)</w:t>
            </w:r>
          </w:p>
        </w:tc>
        <w:tc>
          <w:tcPr>
            <w:tcW w:w="1144"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(0.687)</w:t>
            </w:r>
          </w:p>
        </w:tc>
        <w:tc>
          <w:tcPr>
            <w:tcW w:w="1144"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(0.773)</w:t>
            </w:r>
          </w:p>
        </w:tc>
      </w:tr>
      <w:tr w:rsidR="002859D8" w:rsidRPr="009E0BB4" w:rsidTr="00B05451">
        <w:trPr>
          <w:trHeight w:val="222"/>
        </w:trPr>
        <w:tc>
          <w:tcPr>
            <w:tcW w:w="2692" w:type="dxa"/>
            <w:vMerge w:val="restart"/>
            <w:tcBorders>
              <w:top w:val="nil"/>
              <w:left w:val="nil"/>
              <w:bottom w:val="nil"/>
              <w:right w:val="nil"/>
            </w:tcBorders>
            <w:shd w:val="clear" w:color="auto" w:fill="auto"/>
            <w:noWrap/>
            <w:vAlign w:val="center"/>
            <w:hideMark/>
          </w:tcPr>
          <w:p w:rsidR="002859D8" w:rsidRPr="009E0BB4" w:rsidRDefault="002859D8" w:rsidP="00B05451">
            <w:pPr>
              <w:spacing w:after="0" w:line="240" w:lineRule="auto"/>
              <w:rPr>
                <w:rFonts w:ascii="Gill Sans MT" w:eastAsia="Times New Roman" w:hAnsi="Gill Sans MT" w:cs="Times New Roman"/>
                <w:i/>
                <w:iCs/>
                <w:color w:val="000000"/>
                <w:lang w:eastAsia="en-GB"/>
              </w:rPr>
            </w:pPr>
            <w:r w:rsidRPr="009E0BB4">
              <w:rPr>
                <w:rFonts w:ascii="Gill Sans MT" w:eastAsia="Times New Roman" w:hAnsi="Gill Sans MT" w:cs="Times New Roman"/>
                <w:i/>
                <w:iCs/>
                <w:color w:val="000000"/>
                <w:lang w:eastAsia="en-GB"/>
              </w:rPr>
              <w:t>ISDS</w:t>
            </w:r>
            <w:r w:rsidRPr="009E0BB4">
              <w:rPr>
                <w:rFonts w:ascii="Gill Sans MT" w:eastAsia="Times New Roman" w:hAnsi="Gill Sans MT" w:cs="Times New Roman"/>
                <w:i/>
                <w:iCs/>
                <w:color w:val="000000"/>
                <w:vertAlign w:val="subscript"/>
                <w:lang w:eastAsia="en-GB"/>
              </w:rPr>
              <w:t>ijt</w:t>
            </w:r>
          </w:p>
        </w:tc>
        <w:tc>
          <w:tcPr>
            <w:tcW w:w="988" w:type="dxa"/>
            <w:tcBorders>
              <w:top w:val="nil"/>
              <w:left w:val="nil"/>
              <w:bottom w:val="nil"/>
              <w:right w:val="nil"/>
            </w:tcBorders>
            <w:shd w:val="clear" w:color="auto" w:fill="auto"/>
            <w:noWrap/>
            <w:vAlign w:val="center"/>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p>
        </w:tc>
        <w:tc>
          <w:tcPr>
            <w:tcW w:w="1036"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3.451**</w:t>
            </w:r>
          </w:p>
        </w:tc>
        <w:tc>
          <w:tcPr>
            <w:tcW w:w="1144" w:type="dxa"/>
            <w:tcBorders>
              <w:top w:val="nil"/>
              <w:left w:val="nil"/>
              <w:bottom w:val="nil"/>
              <w:right w:val="nil"/>
            </w:tcBorders>
            <w:shd w:val="clear" w:color="auto" w:fill="auto"/>
            <w:noWrap/>
            <w:vAlign w:val="center"/>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p>
        </w:tc>
        <w:tc>
          <w:tcPr>
            <w:tcW w:w="1144" w:type="dxa"/>
            <w:tcBorders>
              <w:top w:val="nil"/>
              <w:left w:val="nil"/>
              <w:bottom w:val="nil"/>
              <w:right w:val="nil"/>
            </w:tcBorders>
            <w:shd w:val="clear" w:color="auto" w:fill="auto"/>
            <w:noWrap/>
            <w:vAlign w:val="center"/>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p>
        </w:tc>
        <w:tc>
          <w:tcPr>
            <w:tcW w:w="1144" w:type="dxa"/>
            <w:tcBorders>
              <w:top w:val="nil"/>
              <w:left w:val="nil"/>
              <w:bottom w:val="nil"/>
              <w:right w:val="nil"/>
            </w:tcBorders>
            <w:shd w:val="clear" w:color="auto" w:fill="auto"/>
            <w:noWrap/>
            <w:vAlign w:val="center"/>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p>
        </w:tc>
        <w:tc>
          <w:tcPr>
            <w:tcW w:w="1144" w:type="dxa"/>
            <w:tcBorders>
              <w:top w:val="nil"/>
              <w:left w:val="nil"/>
              <w:bottom w:val="nil"/>
              <w:right w:val="nil"/>
            </w:tcBorders>
            <w:shd w:val="clear" w:color="auto" w:fill="auto"/>
            <w:noWrap/>
            <w:vAlign w:val="center"/>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p>
        </w:tc>
      </w:tr>
      <w:tr w:rsidR="002859D8" w:rsidRPr="009E0BB4" w:rsidTr="00B05451">
        <w:trPr>
          <w:trHeight w:val="222"/>
        </w:trPr>
        <w:tc>
          <w:tcPr>
            <w:tcW w:w="2692" w:type="dxa"/>
            <w:vMerge/>
            <w:tcBorders>
              <w:top w:val="nil"/>
              <w:left w:val="nil"/>
              <w:bottom w:val="nil"/>
              <w:right w:val="nil"/>
            </w:tcBorders>
            <w:vAlign w:val="center"/>
            <w:hideMark/>
          </w:tcPr>
          <w:p w:rsidR="002859D8" w:rsidRPr="009E0BB4" w:rsidRDefault="002859D8" w:rsidP="00B05451">
            <w:pPr>
              <w:spacing w:after="0" w:line="240" w:lineRule="auto"/>
              <w:rPr>
                <w:rFonts w:ascii="Gill Sans MT" w:eastAsia="Times New Roman" w:hAnsi="Gill Sans MT" w:cs="Times New Roman"/>
                <w:i/>
                <w:iCs/>
                <w:color w:val="000000"/>
                <w:lang w:eastAsia="en-GB"/>
              </w:rPr>
            </w:pPr>
          </w:p>
        </w:tc>
        <w:tc>
          <w:tcPr>
            <w:tcW w:w="988" w:type="dxa"/>
            <w:tcBorders>
              <w:top w:val="nil"/>
              <w:left w:val="nil"/>
              <w:bottom w:val="nil"/>
              <w:right w:val="nil"/>
            </w:tcBorders>
            <w:shd w:val="clear" w:color="auto" w:fill="auto"/>
            <w:noWrap/>
            <w:vAlign w:val="center"/>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p>
        </w:tc>
        <w:tc>
          <w:tcPr>
            <w:tcW w:w="1036"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(1.741)</w:t>
            </w:r>
          </w:p>
        </w:tc>
        <w:tc>
          <w:tcPr>
            <w:tcW w:w="1144" w:type="dxa"/>
            <w:tcBorders>
              <w:top w:val="nil"/>
              <w:left w:val="nil"/>
              <w:bottom w:val="nil"/>
              <w:right w:val="nil"/>
            </w:tcBorders>
            <w:shd w:val="clear" w:color="auto" w:fill="auto"/>
            <w:noWrap/>
            <w:vAlign w:val="center"/>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p>
        </w:tc>
        <w:tc>
          <w:tcPr>
            <w:tcW w:w="1144" w:type="dxa"/>
            <w:tcBorders>
              <w:top w:val="nil"/>
              <w:left w:val="nil"/>
              <w:bottom w:val="nil"/>
              <w:right w:val="nil"/>
            </w:tcBorders>
            <w:shd w:val="clear" w:color="auto" w:fill="auto"/>
            <w:noWrap/>
            <w:vAlign w:val="center"/>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p>
        </w:tc>
        <w:tc>
          <w:tcPr>
            <w:tcW w:w="1144" w:type="dxa"/>
            <w:tcBorders>
              <w:top w:val="nil"/>
              <w:left w:val="nil"/>
              <w:bottom w:val="nil"/>
              <w:right w:val="nil"/>
            </w:tcBorders>
            <w:shd w:val="clear" w:color="auto" w:fill="auto"/>
            <w:noWrap/>
            <w:vAlign w:val="center"/>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p>
        </w:tc>
        <w:tc>
          <w:tcPr>
            <w:tcW w:w="1144" w:type="dxa"/>
            <w:tcBorders>
              <w:top w:val="nil"/>
              <w:left w:val="nil"/>
              <w:bottom w:val="nil"/>
              <w:right w:val="nil"/>
            </w:tcBorders>
            <w:shd w:val="clear" w:color="auto" w:fill="auto"/>
            <w:noWrap/>
            <w:vAlign w:val="center"/>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p>
        </w:tc>
      </w:tr>
      <w:tr w:rsidR="002859D8" w:rsidRPr="009E0BB4" w:rsidTr="00B05451">
        <w:trPr>
          <w:trHeight w:val="222"/>
        </w:trPr>
        <w:tc>
          <w:tcPr>
            <w:tcW w:w="2692" w:type="dxa"/>
            <w:vMerge w:val="restart"/>
            <w:tcBorders>
              <w:top w:val="nil"/>
              <w:left w:val="nil"/>
              <w:bottom w:val="nil"/>
              <w:right w:val="nil"/>
            </w:tcBorders>
            <w:shd w:val="clear" w:color="auto" w:fill="auto"/>
            <w:noWrap/>
            <w:vAlign w:val="center"/>
            <w:hideMark/>
          </w:tcPr>
          <w:p w:rsidR="002859D8" w:rsidRPr="009E0BB4" w:rsidRDefault="002859D8" w:rsidP="00B05451">
            <w:pPr>
              <w:spacing w:after="0" w:line="240" w:lineRule="auto"/>
              <w:rPr>
                <w:rFonts w:ascii="Gill Sans MT" w:eastAsia="Times New Roman" w:hAnsi="Gill Sans MT" w:cs="Times New Roman"/>
                <w:i/>
                <w:iCs/>
                <w:color w:val="000000"/>
                <w:lang w:eastAsia="en-GB"/>
              </w:rPr>
            </w:pPr>
            <w:r w:rsidRPr="009E0BB4">
              <w:rPr>
                <w:rFonts w:ascii="Gill Sans MT" w:eastAsia="Times New Roman" w:hAnsi="Gill Sans MT" w:cs="Times New Roman"/>
                <w:i/>
                <w:iCs/>
                <w:color w:val="000000"/>
                <w:lang w:eastAsia="en-GB"/>
              </w:rPr>
              <w:t>ISDS_Pre</w:t>
            </w:r>
            <w:r w:rsidRPr="009E0BB4">
              <w:rPr>
                <w:rFonts w:ascii="Gill Sans MT" w:eastAsia="Times New Roman" w:hAnsi="Gill Sans MT" w:cs="Times New Roman"/>
                <w:i/>
                <w:iCs/>
                <w:color w:val="000000"/>
                <w:vertAlign w:val="subscript"/>
                <w:lang w:eastAsia="en-GB"/>
              </w:rPr>
              <w:t>ijt</w:t>
            </w:r>
          </w:p>
        </w:tc>
        <w:tc>
          <w:tcPr>
            <w:tcW w:w="988"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p>
        </w:tc>
        <w:tc>
          <w:tcPr>
            <w:tcW w:w="1036"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p>
        </w:tc>
        <w:tc>
          <w:tcPr>
            <w:tcW w:w="1144"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-2.567***</w:t>
            </w:r>
          </w:p>
        </w:tc>
        <w:tc>
          <w:tcPr>
            <w:tcW w:w="1144"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-2.568***</w:t>
            </w:r>
          </w:p>
        </w:tc>
        <w:tc>
          <w:tcPr>
            <w:tcW w:w="1144"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-2.587***</w:t>
            </w:r>
          </w:p>
        </w:tc>
        <w:tc>
          <w:tcPr>
            <w:tcW w:w="1144"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-2.744***</w:t>
            </w:r>
          </w:p>
        </w:tc>
      </w:tr>
      <w:tr w:rsidR="002859D8" w:rsidRPr="009E0BB4" w:rsidTr="00B05451">
        <w:trPr>
          <w:trHeight w:val="222"/>
        </w:trPr>
        <w:tc>
          <w:tcPr>
            <w:tcW w:w="2692" w:type="dxa"/>
            <w:vMerge/>
            <w:tcBorders>
              <w:top w:val="nil"/>
              <w:left w:val="nil"/>
              <w:bottom w:val="nil"/>
              <w:right w:val="nil"/>
            </w:tcBorders>
            <w:vAlign w:val="center"/>
            <w:hideMark/>
          </w:tcPr>
          <w:p w:rsidR="002859D8" w:rsidRPr="009E0BB4" w:rsidRDefault="002859D8" w:rsidP="00B05451">
            <w:pPr>
              <w:spacing w:after="0" w:line="240" w:lineRule="auto"/>
              <w:rPr>
                <w:rFonts w:ascii="Gill Sans MT" w:eastAsia="Times New Roman" w:hAnsi="Gill Sans MT" w:cs="Times New Roman"/>
                <w:i/>
                <w:iCs/>
                <w:color w:val="000000"/>
                <w:lang w:eastAsia="en-GB"/>
              </w:rPr>
            </w:pPr>
          </w:p>
        </w:tc>
        <w:tc>
          <w:tcPr>
            <w:tcW w:w="988"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p>
        </w:tc>
        <w:tc>
          <w:tcPr>
            <w:tcW w:w="1036"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p>
        </w:tc>
        <w:tc>
          <w:tcPr>
            <w:tcW w:w="1144"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(0.633)</w:t>
            </w:r>
          </w:p>
        </w:tc>
        <w:tc>
          <w:tcPr>
            <w:tcW w:w="1144"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(0.666)</w:t>
            </w:r>
          </w:p>
        </w:tc>
        <w:tc>
          <w:tcPr>
            <w:tcW w:w="1144"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(0.660)</w:t>
            </w:r>
          </w:p>
        </w:tc>
        <w:tc>
          <w:tcPr>
            <w:tcW w:w="1144"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(0.729)</w:t>
            </w:r>
          </w:p>
        </w:tc>
      </w:tr>
      <w:tr w:rsidR="002859D8" w:rsidRPr="009E0BB4" w:rsidTr="00B05451">
        <w:trPr>
          <w:trHeight w:val="222"/>
        </w:trPr>
        <w:tc>
          <w:tcPr>
            <w:tcW w:w="2692" w:type="dxa"/>
            <w:vMerge w:val="restart"/>
            <w:tcBorders>
              <w:top w:val="nil"/>
              <w:left w:val="nil"/>
              <w:bottom w:val="nil"/>
              <w:right w:val="nil"/>
            </w:tcBorders>
            <w:shd w:val="clear" w:color="auto" w:fill="auto"/>
            <w:noWrap/>
            <w:vAlign w:val="center"/>
            <w:hideMark/>
          </w:tcPr>
          <w:p w:rsidR="002859D8" w:rsidRPr="009E0BB4" w:rsidRDefault="002859D8" w:rsidP="00B05451">
            <w:pPr>
              <w:spacing w:after="0" w:line="240" w:lineRule="auto"/>
              <w:rPr>
                <w:rFonts w:ascii="Gill Sans MT" w:eastAsia="Times New Roman" w:hAnsi="Gill Sans MT" w:cs="Times New Roman"/>
                <w:i/>
                <w:iCs/>
                <w:color w:val="000000"/>
                <w:lang w:eastAsia="en-GB"/>
              </w:rPr>
            </w:pPr>
            <w:r w:rsidRPr="009E0BB4">
              <w:rPr>
                <w:rFonts w:ascii="Gill Sans MT" w:eastAsia="Times New Roman" w:hAnsi="Gill Sans MT" w:cs="Times New Roman"/>
                <w:i/>
                <w:iCs/>
                <w:color w:val="000000"/>
                <w:lang w:eastAsia="en-GB"/>
              </w:rPr>
              <w:t>ISDS_Unre</w:t>
            </w:r>
            <w:r w:rsidRPr="009E0BB4">
              <w:rPr>
                <w:rFonts w:ascii="Gill Sans MT" w:eastAsia="Times New Roman" w:hAnsi="Gill Sans MT" w:cs="Times New Roman"/>
                <w:i/>
                <w:iCs/>
                <w:color w:val="000000"/>
                <w:vertAlign w:val="subscript"/>
                <w:lang w:eastAsia="en-GB"/>
              </w:rPr>
              <w:t>ijt</w:t>
            </w:r>
          </w:p>
        </w:tc>
        <w:tc>
          <w:tcPr>
            <w:tcW w:w="988"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p>
        </w:tc>
        <w:tc>
          <w:tcPr>
            <w:tcW w:w="1036"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p>
        </w:tc>
        <w:tc>
          <w:tcPr>
            <w:tcW w:w="1144"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p>
        </w:tc>
        <w:tc>
          <w:tcPr>
            <w:tcW w:w="1144"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-0.00297</w:t>
            </w:r>
          </w:p>
        </w:tc>
        <w:tc>
          <w:tcPr>
            <w:tcW w:w="1144"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0.0141</w:t>
            </w:r>
          </w:p>
        </w:tc>
        <w:tc>
          <w:tcPr>
            <w:tcW w:w="1144"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-0.562</w:t>
            </w:r>
          </w:p>
        </w:tc>
      </w:tr>
      <w:tr w:rsidR="002859D8" w:rsidRPr="009E0BB4" w:rsidTr="00B05451">
        <w:trPr>
          <w:trHeight w:val="222"/>
        </w:trPr>
        <w:tc>
          <w:tcPr>
            <w:tcW w:w="2692" w:type="dxa"/>
            <w:vMerge/>
            <w:tcBorders>
              <w:top w:val="nil"/>
              <w:left w:val="nil"/>
              <w:bottom w:val="nil"/>
              <w:right w:val="nil"/>
            </w:tcBorders>
            <w:vAlign w:val="center"/>
            <w:hideMark/>
          </w:tcPr>
          <w:p w:rsidR="002859D8" w:rsidRPr="009E0BB4" w:rsidRDefault="002859D8" w:rsidP="00B05451">
            <w:pPr>
              <w:spacing w:after="0" w:line="240" w:lineRule="auto"/>
              <w:rPr>
                <w:rFonts w:ascii="Gill Sans MT" w:eastAsia="Times New Roman" w:hAnsi="Gill Sans MT" w:cs="Times New Roman"/>
                <w:i/>
                <w:iCs/>
                <w:color w:val="000000"/>
                <w:lang w:eastAsia="en-GB"/>
              </w:rPr>
            </w:pPr>
          </w:p>
        </w:tc>
        <w:tc>
          <w:tcPr>
            <w:tcW w:w="988"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p>
        </w:tc>
        <w:tc>
          <w:tcPr>
            <w:tcW w:w="1036"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p>
        </w:tc>
        <w:tc>
          <w:tcPr>
            <w:tcW w:w="1144"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p>
        </w:tc>
        <w:tc>
          <w:tcPr>
            <w:tcW w:w="1144"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(0.314)</w:t>
            </w:r>
          </w:p>
        </w:tc>
        <w:tc>
          <w:tcPr>
            <w:tcW w:w="1144"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(0.343)</w:t>
            </w:r>
          </w:p>
        </w:tc>
        <w:tc>
          <w:tcPr>
            <w:tcW w:w="1144"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(0.378)</w:t>
            </w:r>
          </w:p>
        </w:tc>
      </w:tr>
      <w:tr w:rsidR="002859D8" w:rsidRPr="009E0BB4" w:rsidTr="00B05451">
        <w:trPr>
          <w:trHeight w:val="222"/>
        </w:trPr>
        <w:tc>
          <w:tcPr>
            <w:tcW w:w="2692" w:type="dxa"/>
            <w:vMerge w:val="restart"/>
            <w:tcBorders>
              <w:top w:val="nil"/>
              <w:left w:val="nil"/>
              <w:bottom w:val="nil"/>
              <w:right w:val="nil"/>
            </w:tcBorders>
            <w:shd w:val="clear" w:color="auto" w:fill="auto"/>
            <w:noWrap/>
            <w:vAlign w:val="center"/>
            <w:hideMark/>
          </w:tcPr>
          <w:p w:rsidR="002859D8" w:rsidRPr="009E0BB4" w:rsidRDefault="002859D8" w:rsidP="00B05451">
            <w:pPr>
              <w:spacing w:after="0" w:line="240" w:lineRule="auto"/>
              <w:rPr>
                <w:rFonts w:ascii="Gill Sans MT" w:eastAsia="Times New Roman" w:hAnsi="Gill Sans MT" w:cs="Times New Roman"/>
                <w:i/>
                <w:iCs/>
                <w:color w:val="000000"/>
                <w:lang w:eastAsia="en-GB"/>
              </w:rPr>
            </w:pPr>
            <w:r w:rsidRPr="009E0BB4">
              <w:rPr>
                <w:rFonts w:ascii="Gill Sans MT" w:eastAsia="Times New Roman" w:hAnsi="Gill Sans MT" w:cs="Times New Roman"/>
                <w:i/>
                <w:iCs/>
                <w:color w:val="000000"/>
                <w:lang w:eastAsia="en-GB"/>
              </w:rPr>
              <w:t>ISDS_Bin</w:t>
            </w:r>
            <w:r w:rsidRPr="009E0BB4">
              <w:rPr>
                <w:rFonts w:ascii="Gill Sans MT" w:eastAsia="Times New Roman" w:hAnsi="Gill Sans MT" w:cs="Times New Roman"/>
                <w:i/>
                <w:iCs/>
                <w:color w:val="000000"/>
                <w:vertAlign w:val="subscript"/>
                <w:lang w:eastAsia="en-GB"/>
              </w:rPr>
              <w:t>ijt</w:t>
            </w:r>
          </w:p>
        </w:tc>
        <w:tc>
          <w:tcPr>
            <w:tcW w:w="988"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p>
        </w:tc>
        <w:tc>
          <w:tcPr>
            <w:tcW w:w="1036"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p>
        </w:tc>
        <w:tc>
          <w:tcPr>
            <w:tcW w:w="1144"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p>
        </w:tc>
        <w:tc>
          <w:tcPr>
            <w:tcW w:w="1144"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p>
        </w:tc>
        <w:tc>
          <w:tcPr>
            <w:tcW w:w="1144"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0.0497</w:t>
            </w:r>
          </w:p>
        </w:tc>
        <w:tc>
          <w:tcPr>
            <w:tcW w:w="1144"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-0.477</w:t>
            </w:r>
          </w:p>
        </w:tc>
      </w:tr>
      <w:tr w:rsidR="002859D8" w:rsidRPr="009E0BB4" w:rsidTr="00B05451">
        <w:trPr>
          <w:trHeight w:val="222"/>
        </w:trPr>
        <w:tc>
          <w:tcPr>
            <w:tcW w:w="2692" w:type="dxa"/>
            <w:vMerge/>
            <w:tcBorders>
              <w:top w:val="nil"/>
              <w:left w:val="nil"/>
              <w:bottom w:val="nil"/>
              <w:right w:val="nil"/>
            </w:tcBorders>
            <w:vAlign w:val="center"/>
            <w:hideMark/>
          </w:tcPr>
          <w:p w:rsidR="002859D8" w:rsidRPr="009E0BB4" w:rsidRDefault="002859D8" w:rsidP="00B05451">
            <w:pPr>
              <w:spacing w:after="0" w:line="240" w:lineRule="auto"/>
              <w:rPr>
                <w:rFonts w:ascii="Gill Sans MT" w:eastAsia="Times New Roman" w:hAnsi="Gill Sans MT" w:cs="Times New Roman"/>
                <w:i/>
                <w:iCs/>
                <w:color w:val="000000"/>
                <w:lang w:eastAsia="en-GB"/>
              </w:rPr>
            </w:pPr>
          </w:p>
        </w:tc>
        <w:tc>
          <w:tcPr>
            <w:tcW w:w="988"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p>
        </w:tc>
        <w:tc>
          <w:tcPr>
            <w:tcW w:w="1036"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p>
        </w:tc>
        <w:tc>
          <w:tcPr>
            <w:tcW w:w="1144"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p>
        </w:tc>
        <w:tc>
          <w:tcPr>
            <w:tcW w:w="1144"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p>
        </w:tc>
        <w:tc>
          <w:tcPr>
            <w:tcW w:w="1144"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(0.318)</w:t>
            </w:r>
          </w:p>
        </w:tc>
        <w:tc>
          <w:tcPr>
            <w:tcW w:w="1144"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(0.321)</w:t>
            </w:r>
          </w:p>
        </w:tc>
      </w:tr>
      <w:tr w:rsidR="002859D8" w:rsidRPr="009E0BB4" w:rsidTr="00B05451">
        <w:trPr>
          <w:trHeight w:val="222"/>
        </w:trPr>
        <w:tc>
          <w:tcPr>
            <w:tcW w:w="2692" w:type="dxa"/>
            <w:vMerge w:val="restart"/>
            <w:tcBorders>
              <w:top w:val="nil"/>
              <w:left w:val="nil"/>
              <w:bottom w:val="nil"/>
              <w:right w:val="nil"/>
            </w:tcBorders>
            <w:shd w:val="clear" w:color="auto" w:fill="auto"/>
            <w:noWrap/>
            <w:vAlign w:val="center"/>
            <w:hideMark/>
          </w:tcPr>
          <w:p w:rsidR="002859D8" w:rsidRPr="009E0BB4" w:rsidRDefault="002859D8" w:rsidP="00B05451">
            <w:pPr>
              <w:spacing w:after="0" w:line="240" w:lineRule="auto"/>
              <w:rPr>
                <w:rFonts w:ascii="Gill Sans MT" w:eastAsia="Times New Roman" w:hAnsi="Gill Sans MT" w:cs="Times New Roman"/>
                <w:i/>
                <w:iCs/>
                <w:color w:val="000000"/>
                <w:lang w:eastAsia="en-GB"/>
              </w:rPr>
            </w:pPr>
            <w:r w:rsidRPr="009E0BB4">
              <w:rPr>
                <w:rFonts w:ascii="Gill Sans MT" w:eastAsia="Times New Roman" w:hAnsi="Gill Sans MT" w:cs="Times New Roman"/>
                <w:i/>
                <w:iCs/>
                <w:color w:val="000000"/>
                <w:lang w:eastAsia="en-GB"/>
              </w:rPr>
              <w:t>ISDS_Bin</w:t>
            </w:r>
            <w:r w:rsidRPr="009E0BB4">
              <w:rPr>
                <w:rFonts w:ascii="Gill Sans MT" w:eastAsia="Times New Roman" w:hAnsi="Gill Sans MT" w:cs="Times New Roman"/>
                <w:i/>
                <w:iCs/>
                <w:color w:val="000000"/>
                <w:vertAlign w:val="subscript"/>
                <w:lang w:eastAsia="en-GB"/>
              </w:rPr>
              <w:t>ijt</w:t>
            </w:r>
            <w:r w:rsidRPr="009E0BB4">
              <w:rPr>
                <w:rFonts w:ascii="Gill Sans MT" w:eastAsia="Times New Roman" w:hAnsi="Gill Sans MT" w:cs="Times New Roman"/>
                <w:i/>
                <w:iCs/>
                <w:color w:val="000000"/>
                <w:lang w:eastAsia="en-GB"/>
              </w:rPr>
              <w:t xml:space="preserve"> * ISDS_Unre</w:t>
            </w:r>
            <w:r w:rsidRPr="009E0BB4">
              <w:rPr>
                <w:rFonts w:ascii="Gill Sans MT" w:eastAsia="Times New Roman" w:hAnsi="Gill Sans MT" w:cs="Times New Roman"/>
                <w:i/>
                <w:iCs/>
                <w:color w:val="000000"/>
                <w:vertAlign w:val="subscript"/>
                <w:lang w:eastAsia="en-GB"/>
              </w:rPr>
              <w:t>ijt</w:t>
            </w:r>
          </w:p>
        </w:tc>
        <w:tc>
          <w:tcPr>
            <w:tcW w:w="988"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p>
        </w:tc>
        <w:tc>
          <w:tcPr>
            <w:tcW w:w="1036"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p>
        </w:tc>
        <w:tc>
          <w:tcPr>
            <w:tcW w:w="1144"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p>
        </w:tc>
        <w:tc>
          <w:tcPr>
            <w:tcW w:w="1144"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p>
        </w:tc>
        <w:tc>
          <w:tcPr>
            <w:tcW w:w="1144"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p>
        </w:tc>
        <w:tc>
          <w:tcPr>
            <w:tcW w:w="1144"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1.259**</w:t>
            </w:r>
          </w:p>
        </w:tc>
      </w:tr>
      <w:tr w:rsidR="002859D8" w:rsidRPr="009E0BB4" w:rsidTr="00B05451">
        <w:trPr>
          <w:trHeight w:val="222"/>
        </w:trPr>
        <w:tc>
          <w:tcPr>
            <w:tcW w:w="2692" w:type="dxa"/>
            <w:vMerge/>
            <w:tcBorders>
              <w:top w:val="nil"/>
              <w:left w:val="nil"/>
              <w:bottom w:val="single" w:sz="8" w:space="0" w:color="AA273E"/>
              <w:right w:val="nil"/>
            </w:tcBorders>
            <w:vAlign w:val="center"/>
            <w:hideMark/>
          </w:tcPr>
          <w:p w:rsidR="002859D8" w:rsidRPr="009E0BB4" w:rsidRDefault="002859D8" w:rsidP="00B05451">
            <w:pPr>
              <w:spacing w:after="0" w:line="240" w:lineRule="auto"/>
              <w:rPr>
                <w:rFonts w:ascii="Gill Sans MT" w:eastAsia="Times New Roman" w:hAnsi="Gill Sans MT" w:cs="Times New Roman"/>
                <w:i/>
                <w:iCs/>
                <w:color w:val="000000"/>
                <w:lang w:eastAsia="en-GB"/>
              </w:rPr>
            </w:pPr>
          </w:p>
        </w:tc>
        <w:tc>
          <w:tcPr>
            <w:tcW w:w="988" w:type="dxa"/>
            <w:tcBorders>
              <w:top w:val="nil"/>
              <w:left w:val="nil"/>
              <w:bottom w:val="single" w:sz="8" w:space="0" w:color="AA273E"/>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p>
        </w:tc>
        <w:tc>
          <w:tcPr>
            <w:tcW w:w="1036" w:type="dxa"/>
            <w:tcBorders>
              <w:top w:val="nil"/>
              <w:left w:val="nil"/>
              <w:bottom w:val="single" w:sz="8" w:space="0" w:color="AA273E"/>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p>
        </w:tc>
        <w:tc>
          <w:tcPr>
            <w:tcW w:w="1144" w:type="dxa"/>
            <w:tcBorders>
              <w:top w:val="nil"/>
              <w:left w:val="nil"/>
              <w:bottom w:val="single" w:sz="8" w:space="0" w:color="AA273E"/>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p>
        </w:tc>
        <w:tc>
          <w:tcPr>
            <w:tcW w:w="1144" w:type="dxa"/>
            <w:tcBorders>
              <w:top w:val="nil"/>
              <w:left w:val="nil"/>
              <w:bottom w:val="single" w:sz="8" w:space="0" w:color="AA273E"/>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p>
        </w:tc>
        <w:tc>
          <w:tcPr>
            <w:tcW w:w="1144" w:type="dxa"/>
            <w:tcBorders>
              <w:top w:val="nil"/>
              <w:left w:val="nil"/>
              <w:bottom w:val="single" w:sz="8" w:space="0" w:color="AA273E"/>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p>
        </w:tc>
        <w:tc>
          <w:tcPr>
            <w:tcW w:w="1144" w:type="dxa"/>
            <w:tcBorders>
              <w:top w:val="nil"/>
              <w:left w:val="nil"/>
              <w:bottom w:val="single" w:sz="8" w:space="0" w:color="AA273E"/>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(0.569)</w:t>
            </w:r>
          </w:p>
        </w:tc>
      </w:tr>
      <w:tr w:rsidR="002859D8" w:rsidRPr="009E0BB4" w:rsidTr="00B05451">
        <w:trPr>
          <w:trHeight w:val="222"/>
        </w:trPr>
        <w:tc>
          <w:tcPr>
            <w:tcW w:w="2692" w:type="dxa"/>
            <w:tcBorders>
              <w:top w:val="single" w:sz="8" w:space="0" w:color="AA273E"/>
              <w:left w:val="nil"/>
              <w:bottom w:val="nil"/>
              <w:right w:val="nil"/>
            </w:tcBorders>
            <w:shd w:val="clear" w:color="auto" w:fill="auto"/>
            <w:noWrap/>
            <w:vAlign w:val="center"/>
            <w:hideMark/>
          </w:tcPr>
          <w:p w:rsidR="002859D8" w:rsidRPr="009E0BB4" w:rsidRDefault="002859D8" w:rsidP="00B05451">
            <w:pPr>
              <w:spacing w:after="0" w:line="240" w:lineRule="auto"/>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Host-source FE</w:t>
            </w:r>
          </w:p>
        </w:tc>
        <w:tc>
          <w:tcPr>
            <w:tcW w:w="988" w:type="dxa"/>
            <w:tcBorders>
              <w:top w:val="single" w:sz="8" w:space="0" w:color="AA273E"/>
              <w:left w:val="nil"/>
              <w:bottom w:val="nil"/>
              <w:right w:val="nil"/>
            </w:tcBorders>
            <w:shd w:val="clear" w:color="auto" w:fill="auto"/>
            <w:noWrap/>
            <w:vAlign w:val="center"/>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Yes</w:t>
            </w:r>
          </w:p>
        </w:tc>
        <w:tc>
          <w:tcPr>
            <w:tcW w:w="1036" w:type="dxa"/>
            <w:tcBorders>
              <w:top w:val="single" w:sz="8" w:space="0" w:color="AA273E"/>
              <w:left w:val="nil"/>
              <w:bottom w:val="nil"/>
              <w:right w:val="nil"/>
            </w:tcBorders>
            <w:shd w:val="clear" w:color="auto" w:fill="auto"/>
            <w:noWrap/>
            <w:vAlign w:val="center"/>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Yes</w:t>
            </w:r>
          </w:p>
        </w:tc>
        <w:tc>
          <w:tcPr>
            <w:tcW w:w="1144" w:type="dxa"/>
            <w:tcBorders>
              <w:top w:val="single" w:sz="8" w:space="0" w:color="AA273E"/>
              <w:left w:val="nil"/>
              <w:bottom w:val="nil"/>
              <w:right w:val="nil"/>
            </w:tcBorders>
            <w:shd w:val="clear" w:color="auto" w:fill="auto"/>
            <w:noWrap/>
            <w:vAlign w:val="center"/>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Yes</w:t>
            </w:r>
          </w:p>
        </w:tc>
        <w:tc>
          <w:tcPr>
            <w:tcW w:w="1144" w:type="dxa"/>
            <w:tcBorders>
              <w:top w:val="single" w:sz="8" w:space="0" w:color="AA273E"/>
              <w:left w:val="nil"/>
              <w:bottom w:val="nil"/>
              <w:right w:val="nil"/>
            </w:tcBorders>
            <w:shd w:val="clear" w:color="auto" w:fill="auto"/>
            <w:noWrap/>
            <w:vAlign w:val="center"/>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Yes</w:t>
            </w:r>
          </w:p>
        </w:tc>
        <w:tc>
          <w:tcPr>
            <w:tcW w:w="1144" w:type="dxa"/>
            <w:tcBorders>
              <w:top w:val="single" w:sz="8" w:space="0" w:color="AA273E"/>
              <w:left w:val="nil"/>
              <w:bottom w:val="nil"/>
              <w:right w:val="nil"/>
            </w:tcBorders>
            <w:shd w:val="clear" w:color="auto" w:fill="auto"/>
            <w:noWrap/>
            <w:vAlign w:val="center"/>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Yes</w:t>
            </w:r>
          </w:p>
        </w:tc>
        <w:tc>
          <w:tcPr>
            <w:tcW w:w="1144" w:type="dxa"/>
            <w:tcBorders>
              <w:top w:val="single" w:sz="8" w:space="0" w:color="AA273E"/>
              <w:left w:val="nil"/>
              <w:bottom w:val="nil"/>
              <w:right w:val="nil"/>
            </w:tcBorders>
            <w:shd w:val="clear" w:color="auto" w:fill="auto"/>
            <w:noWrap/>
            <w:vAlign w:val="center"/>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Yes</w:t>
            </w:r>
          </w:p>
        </w:tc>
      </w:tr>
      <w:tr w:rsidR="002859D8" w:rsidRPr="009E0BB4" w:rsidTr="00B05451">
        <w:trPr>
          <w:trHeight w:val="222"/>
        </w:trPr>
        <w:tc>
          <w:tcPr>
            <w:tcW w:w="2692" w:type="dxa"/>
            <w:tcBorders>
              <w:top w:val="nil"/>
              <w:left w:val="nil"/>
              <w:bottom w:val="nil"/>
              <w:right w:val="nil"/>
            </w:tcBorders>
            <w:shd w:val="clear" w:color="auto" w:fill="auto"/>
            <w:noWrap/>
            <w:vAlign w:val="center"/>
            <w:hideMark/>
          </w:tcPr>
          <w:p w:rsidR="002859D8" w:rsidRPr="009E0BB4" w:rsidRDefault="002859D8" w:rsidP="00B05451">
            <w:pPr>
              <w:spacing w:after="0" w:line="240" w:lineRule="auto"/>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Year FE</w:t>
            </w:r>
          </w:p>
        </w:tc>
        <w:tc>
          <w:tcPr>
            <w:tcW w:w="988" w:type="dxa"/>
            <w:tcBorders>
              <w:top w:val="nil"/>
              <w:left w:val="nil"/>
              <w:bottom w:val="nil"/>
              <w:right w:val="nil"/>
            </w:tcBorders>
            <w:shd w:val="clear" w:color="auto" w:fill="auto"/>
            <w:noWrap/>
            <w:vAlign w:val="center"/>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Yes</w:t>
            </w:r>
          </w:p>
        </w:tc>
        <w:tc>
          <w:tcPr>
            <w:tcW w:w="1036" w:type="dxa"/>
            <w:tcBorders>
              <w:top w:val="nil"/>
              <w:left w:val="nil"/>
              <w:bottom w:val="nil"/>
              <w:right w:val="nil"/>
            </w:tcBorders>
            <w:shd w:val="clear" w:color="auto" w:fill="auto"/>
            <w:noWrap/>
            <w:vAlign w:val="center"/>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Yes</w:t>
            </w:r>
          </w:p>
        </w:tc>
        <w:tc>
          <w:tcPr>
            <w:tcW w:w="1144" w:type="dxa"/>
            <w:tcBorders>
              <w:top w:val="nil"/>
              <w:left w:val="nil"/>
              <w:bottom w:val="nil"/>
              <w:right w:val="nil"/>
            </w:tcBorders>
            <w:shd w:val="clear" w:color="auto" w:fill="auto"/>
            <w:noWrap/>
            <w:vAlign w:val="center"/>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Yes</w:t>
            </w:r>
          </w:p>
        </w:tc>
        <w:tc>
          <w:tcPr>
            <w:tcW w:w="1144" w:type="dxa"/>
            <w:tcBorders>
              <w:top w:val="nil"/>
              <w:left w:val="nil"/>
              <w:bottom w:val="nil"/>
              <w:right w:val="nil"/>
            </w:tcBorders>
            <w:shd w:val="clear" w:color="auto" w:fill="auto"/>
            <w:noWrap/>
            <w:vAlign w:val="center"/>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Yes</w:t>
            </w:r>
          </w:p>
        </w:tc>
        <w:tc>
          <w:tcPr>
            <w:tcW w:w="1144" w:type="dxa"/>
            <w:tcBorders>
              <w:top w:val="nil"/>
              <w:left w:val="nil"/>
              <w:bottom w:val="nil"/>
              <w:right w:val="nil"/>
            </w:tcBorders>
            <w:shd w:val="clear" w:color="auto" w:fill="auto"/>
            <w:noWrap/>
            <w:vAlign w:val="center"/>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Yes</w:t>
            </w:r>
          </w:p>
        </w:tc>
        <w:tc>
          <w:tcPr>
            <w:tcW w:w="1144" w:type="dxa"/>
            <w:tcBorders>
              <w:top w:val="nil"/>
              <w:left w:val="nil"/>
              <w:bottom w:val="nil"/>
              <w:right w:val="nil"/>
            </w:tcBorders>
            <w:shd w:val="clear" w:color="auto" w:fill="auto"/>
            <w:noWrap/>
            <w:vAlign w:val="center"/>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Yes</w:t>
            </w:r>
          </w:p>
        </w:tc>
      </w:tr>
      <w:tr w:rsidR="002859D8" w:rsidRPr="009E0BB4" w:rsidTr="00B05451">
        <w:trPr>
          <w:trHeight w:val="222"/>
        </w:trPr>
        <w:tc>
          <w:tcPr>
            <w:tcW w:w="2692" w:type="dxa"/>
            <w:tcBorders>
              <w:top w:val="nil"/>
              <w:left w:val="nil"/>
              <w:bottom w:val="nil"/>
              <w:right w:val="nil"/>
            </w:tcBorders>
            <w:shd w:val="clear" w:color="auto" w:fill="auto"/>
            <w:noWrap/>
            <w:vAlign w:val="center"/>
            <w:hideMark/>
          </w:tcPr>
          <w:p w:rsidR="002859D8" w:rsidRPr="009E0BB4" w:rsidRDefault="002859D8" w:rsidP="00B05451">
            <w:pPr>
              <w:spacing w:after="0" w:line="240" w:lineRule="auto"/>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Observations</w:t>
            </w:r>
          </w:p>
        </w:tc>
        <w:tc>
          <w:tcPr>
            <w:tcW w:w="988"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15375</w:t>
            </w:r>
          </w:p>
        </w:tc>
        <w:tc>
          <w:tcPr>
            <w:tcW w:w="1036"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14844</w:t>
            </w:r>
          </w:p>
        </w:tc>
        <w:tc>
          <w:tcPr>
            <w:tcW w:w="1144"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14844</w:t>
            </w:r>
          </w:p>
        </w:tc>
        <w:tc>
          <w:tcPr>
            <w:tcW w:w="1144"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14844</w:t>
            </w:r>
          </w:p>
        </w:tc>
        <w:tc>
          <w:tcPr>
            <w:tcW w:w="1144"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14844</w:t>
            </w:r>
          </w:p>
        </w:tc>
        <w:tc>
          <w:tcPr>
            <w:tcW w:w="1144" w:type="dxa"/>
            <w:tcBorders>
              <w:top w:val="nil"/>
              <w:left w:val="nil"/>
              <w:bottom w:val="nil"/>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14844</w:t>
            </w:r>
          </w:p>
        </w:tc>
      </w:tr>
      <w:tr w:rsidR="002859D8" w:rsidRPr="009E0BB4" w:rsidTr="00B05451">
        <w:trPr>
          <w:trHeight w:val="231"/>
        </w:trPr>
        <w:tc>
          <w:tcPr>
            <w:tcW w:w="2692" w:type="dxa"/>
            <w:tcBorders>
              <w:top w:val="nil"/>
              <w:left w:val="nil"/>
              <w:bottom w:val="single" w:sz="18" w:space="0" w:color="AA273E"/>
              <w:right w:val="nil"/>
            </w:tcBorders>
            <w:shd w:val="clear" w:color="auto" w:fill="auto"/>
            <w:noWrap/>
            <w:vAlign w:val="center"/>
            <w:hideMark/>
          </w:tcPr>
          <w:p w:rsidR="002859D8" w:rsidRPr="009E0BB4" w:rsidRDefault="002859D8" w:rsidP="00B05451">
            <w:pPr>
              <w:spacing w:after="0" w:line="240" w:lineRule="auto"/>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Pseudo R-sq</w:t>
            </w:r>
          </w:p>
        </w:tc>
        <w:tc>
          <w:tcPr>
            <w:tcW w:w="988" w:type="dxa"/>
            <w:tcBorders>
              <w:top w:val="nil"/>
              <w:left w:val="nil"/>
              <w:bottom w:val="single" w:sz="18" w:space="0" w:color="AA273E"/>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0.605</w:t>
            </w:r>
          </w:p>
        </w:tc>
        <w:tc>
          <w:tcPr>
            <w:tcW w:w="1036" w:type="dxa"/>
            <w:tcBorders>
              <w:top w:val="nil"/>
              <w:left w:val="nil"/>
              <w:bottom w:val="single" w:sz="18" w:space="0" w:color="AA273E"/>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0.605</w:t>
            </w:r>
          </w:p>
        </w:tc>
        <w:tc>
          <w:tcPr>
            <w:tcW w:w="1144" w:type="dxa"/>
            <w:tcBorders>
              <w:top w:val="nil"/>
              <w:left w:val="nil"/>
              <w:bottom w:val="single" w:sz="18" w:space="0" w:color="AA273E"/>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0.605</w:t>
            </w:r>
          </w:p>
        </w:tc>
        <w:tc>
          <w:tcPr>
            <w:tcW w:w="1144" w:type="dxa"/>
            <w:tcBorders>
              <w:top w:val="nil"/>
              <w:left w:val="nil"/>
              <w:bottom w:val="single" w:sz="18" w:space="0" w:color="AA273E"/>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0.605</w:t>
            </w:r>
          </w:p>
        </w:tc>
        <w:tc>
          <w:tcPr>
            <w:tcW w:w="1144" w:type="dxa"/>
            <w:tcBorders>
              <w:top w:val="nil"/>
              <w:left w:val="nil"/>
              <w:bottom w:val="single" w:sz="18" w:space="0" w:color="AA273E"/>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0.605</w:t>
            </w:r>
          </w:p>
        </w:tc>
        <w:tc>
          <w:tcPr>
            <w:tcW w:w="1144" w:type="dxa"/>
            <w:tcBorders>
              <w:top w:val="nil"/>
              <w:left w:val="nil"/>
              <w:bottom w:val="single" w:sz="18" w:space="0" w:color="AA273E"/>
              <w:right w:val="nil"/>
            </w:tcBorders>
            <w:shd w:val="clear" w:color="auto" w:fill="auto"/>
            <w:noWrap/>
            <w:vAlign w:val="bottom"/>
            <w:hideMark/>
          </w:tcPr>
          <w:p w:rsidR="002859D8" w:rsidRPr="009E0BB4" w:rsidRDefault="002859D8"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0.605</w:t>
            </w:r>
          </w:p>
        </w:tc>
      </w:tr>
      <w:tr w:rsidR="002859D8" w:rsidRPr="009E0BB4" w:rsidTr="00B05451">
        <w:trPr>
          <w:trHeight w:val="791"/>
        </w:trPr>
        <w:tc>
          <w:tcPr>
            <w:tcW w:w="9292" w:type="dxa"/>
            <w:gridSpan w:val="7"/>
            <w:tcBorders>
              <w:top w:val="single" w:sz="18" w:space="0" w:color="AA273E"/>
              <w:left w:val="nil"/>
              <w:bottom w:val="nil"/>
              <w:right w:val="nil"/>
            </w:tcBorders>
            <w:shd w:val="clear" w:color="auto" w:fill="auto"/>
            <w:hideMark/>
          </w:tcPr>
          <w:p w:rsidR="002859D8" w:rsidRPr="009E0BB4" w:rsidRDefault="002859D8" w:rsidP="00B05451">
            <w:pPr>
              <w:spacing w:after="0" w:line="240" w:lineRule="auto"/>
              <w:rPr>
                <w:rFonts w:ascii="Gill Sans MT" w:eastAsia="Times New Roman" w:hAnsi="Gill Sans MT" w:cs="Times New Roman"/>
                <w:color w:val="000000"/>
                <w:sz w:val="20"/>
                <w:szCs w:val="20"/>
                <w:lang w:eastAsia="en-GB"/>
              </w:rPr>
            </w:pPr>
            <w:r>
              <w:rPr>
                <w:rFonts w:ascii="Gill Sans MT" w:eastAsia="Times New Roman" w:hAnsi="Gill Sans MT" w:cs="Times New Roman"/>
                <w:color w:val="000000"/>
                <w:sz w:val="20"/>
                <w:szCs w:val="20"/>
                <w:lang w:eastAsia="en-GB"/>
              </w:rPr>
              <w:t>Table 2</w:t>
            </w:r>
            <w:r w:rsidRPr="009E0BB4">
              <w:rPr>
                <w:rFonts w:ascii="Gill Sans MT" w:eastAsia="Times New Roman" w:hAnsi="Gill Sans MT" w:cs="Times New Roman"/>
                <w:color w:val="000000"/>
                <w:sz w:val="20"/>
                <w:szCs w:val="20"/>
                <w:lang w:eastAsia="en-GB"/>
              </w:rPr>
              <w:t>: This table runs a basic gravity model for bilateral FDI flows and introduces dummy variables to test the effect of Bilateral Investment Treaties (BITs) in increasing these flows. Not shown on the table are the coeff</w:t>
            </w:r>
            <w:r w:rsidRPr="009E0BB4">
              <w:rPr>
                <w:rFonts w:ascii="Gill Sans MT" w:eastAsia="Times New Roman" w:hAnsi="Gill Sans MT" w:cs="Times New Roman"/>
                <w:color w:val="000000"/>
                <w:sz w:val="20"/>
                <w:szCs w:val="20"/>
                <w:lang w:eastAsia="en-GB"/>
              </w:rPr>
              <w:t>i</w:t>
            </w:r>
            <w:r w:rsidRPr="009E0BB4">
              <w:rPr>
                <w:rFonts w:ascii="Gill Sans MT" w:eastAsia="Times New Roman" w:hAnsi="Gill Sans MT" w:cs="Times New Roman"/>
                <w:color w:val="000000"/>
                <w:sz w:val="20"/>
                <w:szCs w:val="20"/>
                <w:lang w:eastAsia="en-GB"/>
              </w:rPr>
              <w:t>cients for GDP for the host and source countries. All specifications also include pair and year fixed effects</w:t>
            </w:r>
          </w:p>
        </w:tc>
      </w:tr>
    </w:tbl>
    <w:p w:rsidR="00B05451" w:rsidRPr="00E65BDC" w:rsidRDefault="00B05451" w:rsidP="00B05451">
      <w:pPr>
        <w:pStyle w:val="PlainText"/>
        <w:spacing w:after="120" w:line="360" w:lineRule="auto"/>
        <w:jc w:val="both"/>
        <w:rPr>
          <w:rFonts w:asciiTheme="minorHAnsi" w:eastAsiaTheme="minorEastAsia" w:hAnsiTheme="minorHAnsi" w:cs="Courier New"/>
          <w:sz w:val="22"/>
          <w:szCs w:val="22"/>
        </w:rPr>
      </w:pPr>
      <w:r w:rsidRPr="00647D16">
        <w:rPr>
          <w:rFonts w:asciiTheme="minorHAnsi" w:hAnsiTheme="minorHAnsi" w:cs="Courier New"/>
          <w:sz w:val="22"/>
          <w:szCs w:val="22"/>
        </w:rPr>
        <w:t>Table 3 builds on these results by introducing greater numbers of control variables</w:t>
      </w:r>
      <w:r w:rsidR="00E65BDC">
        <w:rPr>
          <w:rFonts w:asciiTheme="minorHAnsi" w:hAnsiTheme="minorHAnsi" w:cs="Courier New"/>
          <w:sz w:val="22"/>
          <w:szCs w:val="22"/>
        </w:rPr>
        <w:t>,</w:t>
      </w:r>
      <w:r>
        <w:rPr>
          <w:rFonts w:asciiTheme="minorHAnsi" w:hAnsiTheme="minorHAnsi" w:cs="Courier New"/>
          <w:sz w:val="22"/>
          <w:szCs w:val="22"/>
        </w:rPr>
        <w:t xml:space="preserve"> and introducing Wald test</w:t>
      </w:r>
      <w:r w:rsidR="00E65BDC">
        <w:rPr>
          <w:rFonts w:asciiTheme="minorHAnsi" w:hAnsiTheme="minorHAnsi" w:cs="Courier New"/>
          <w:sz w:val="22"/>
          <w:szCs w:val="22"/>
        </w:rPr>
        <w:t>s</w:t>
      </w:r>
      <w:r>
        <w:rPr>
          <w:rFonts w:asciiTheme="minorHAnsi" w:hAnsiTheme="minorHAnsi" w:cs="Courier New"/>
          <w:sz w:val="22"/>
          <w:szCs w:val="22"/>
        </w:rPr>
        <w:t xml:space="preserve"> to test the combined statistical significance of the provisions</w:t>
      </w:r>
      <w:r w:rsidRPr="00647D16">
        <w:rPr>
          <w:rFonts w:asciiTheme="minorHAnsi" w:hAnsiTheme="minorHAnsi" w:cs="Courier New"/>
          <w:sz w:val="22"/>
          <w:szCs w:val="22"/>
        </w:rPr>
        <w:t>.</w:t>
      </w:r>
      <w:r>
        <w:rPr>
          <w:rFonts w:asciiTheme="minorHAnsi" w:hAnsiTheme="minorHAnsi" w:cs="Courier New"/>
          <w:sz w:val="22"/>
          <w:szCs w:val="22"/>
        </w:rPr>
        <w:t xml:space="preserve"> The first step is to introduce the concepts of weak and strong BITs depending on the ISDS provisions in the BIT</w:t>
      </w:r>
      <w:r w:rsidR="00E65BDC">
        <w:rPr>
          <w:rFonts w:asciiTheme="minorHAnsi" w:hAnsiTheme="minorHAnsi" w:cs="Courier New"/>
          <w:sz w:val="22"/>
          <w:szCs w:val="22"/>
        </w:rPr>
        <w:t>, following equations (4) and (5)</w:t>
      </w:r>
      <w:r>
        <w:rPr>
          <w:rFonts w:asciiTheme="minorHAnsi" w:hAnsiTheme="minorHAnsi" w:cs="Courier New"/>
          <w:sz w:val="22"/>
          <w:szCs w:val="22"/>
        </w:rPr>
        <w:t xml:space="preserve">. </w:t>
      </w:r>
      <w:r w:rsidR="00E65BDC">
        <w:rPr>
          <w:rFonts w:asciiTheme="minorHAnsi" w:hAnsiTheme="minorHAnsi" w:cs="Courier New"/>
          <w:sz w:val="22"/>
          <w:szCs w:val="22"/>
        </w:rPr>
        <w:t>T</w:t>
      </w:r>
      <w:r>
        <w:rPr>
          <w:rFonts w:asciiTheme="minorHAnsi" w:hAnsiTheme="minorHAnsi" w:cs="Courier New"/>
          <w:sz w:val="22"/>
          <w:szCs w:val="22"/>
        </w:rPr>
        <w:t xml:space="preserve">able 3 column (1) is identical to column (6) in table 2. We define a BIT as weak </w:t>
      </w:r>
      <w:r w:rsidR="00E65BDC">
        <w:rPr>
          <w:rFonts w:asciiTheme="minorHAnsi" w:hAnsiTheme="minorHAnsi" w:cs="Courier New"/>
          <w:sz w:val="22"/>
          <w:szCs w:val="22"/>
        </w:rPr>
        <w:t>(</w:t>
      </w:r>
      <m:oMath>
        <m:sSub>
          <m:sSubPr>
            <m:ctrlPr>
              <w:rPr>
                <w:rFonts w:ascii="Cambria Math" w:hAnsi="Cambria Math" w:cs="Courier New"/>
                <w:i/>
              </w:rPr>
            </m:ctrlPr>
          </m:sSubPr>
          <m:e>
            <m:acc>
              <m:accPr>
                <m:ctrlPr>
                  <w:rPr>
                    <w:rFonts w:ascii="Cambria Math" w:hAnsi="Cambria Math" w:cs="Courier New"/>
                    <w:i/>
                  </w:rPr>
                </m:ctrlPr>
              </m:accPr>
              <m:e>
                <m:r>
                  <w:rPr>
                    <w:rFonts w:ascii="Cambria Math" w:hAnsi="Cambria Math" w:cs="Courier New"/>
                  </w:rPr>
                  <m:t>B</m:t>
                </m:r>
              </m:e>
            </m:acc>
          </m:e>
          <m:sub>
            <m:r>
              <w:rPr>
                <w:rFonts w:ascii="Cambria Math" w:hAnsi="Cambria Math" w:cs="Courier New"/>
              </w:rPr>
              <m:t>weak</m:t>
            </m:r>
          </m:sub>
        </m:sSub>
      </m:oMath>
      <w:r w:rsidR="00E65BDC">
        <w:rPr>
          <w:rFonts w:asciiTheme="minorHAnsi" w:eastAsiaTheme="minorEastAsia" w:hAnsiTheme="minorHAnsi" w:cs="Courier New"/>
          <w:sz w:val="22"/>
          <w:szCs w:val="22"/>
        </w:rPr>
        <w:t xml:space="preserve">) </w:t>
      </w:r>
      <w:r>
        <w:rPr>
          <w:rFonts w:asciiTheme="minorHAnsi" w:hAnsiTheme="minorHAnsi" w:cs="Courier New"/>
          <w:sz w:val="22"/>
          <w:szCs w:val="22"/>
        </w:rPr>
        <w:t xml:space="preserve">in terms of investor protection if there is no ISDS provision and only a pre-consent to ISDS. </w:t>
      </w:r>
      <w:r w:rsidR="00E65BDC">
        <w:rPr>
          <w:rFonts w:asciiTheme="minorHAnsi" w:eastAsiaTheme="minorEastAsia" w:hAnsiTheme="minorHAnsi" w:cs="Courier New"/>
          <w:sz w:val="22"/>
          <w:szCs w:val="22"/>
        </w:rPr>
        <w:t>We define a BIT as strong</w:t>
      </w:r>
      <w:r>
        <w:rPr>
          <w:rFonts w:asciiTheme="minorHAnsi" w:eastAsiaTheme="minorEastAsia" w:hAnsiTheme="minorHAnsi" w:cs="Courier New"/>
          <w:sz w:val="22"/>
          <w:szCs w:val="22"/>
        </w:rPr>
        <w:t xml:space="preserve"> </w:t>
      </w:r>
      <w:r w:rsidR="00E65BDC">
        <w:rPr>
          <w:rFonts w:asciiTheme="minorHAnsi" w:eastAsiaTheme="minorEastAsia" w:hAnsiTheme="minorHAnsi" w:cs="Courier New"/>
          <w:sz w:val="22"/>
          <w:szCs w:val="22"/>
        </w:rPr>
        <w:t>(</w:t>
      </w:r>
      <m:oMath>
        <m:sSub>
          <m:sSubPr>
            <m:ctrlPr>
              <w:rPr>
                <w:rFonts w:ascii="Cambria Math" w:hAnsi="Cambria Math" w:cs="Courier New"/>
                <w:i/>
              </w:rPr>
            </m:ctrlPr>
          </m:sSubPr>
          <m:e>
            <m:acc>
              <m:accPr>
                <m:ctrlPr>
                  <w:rPr>
                    <w:rFonts w:ascii="Cambria Math" w:hAnsi="Cambria Math" w:cs="Courier New"/>
                    <w:i/>
                  </w:rPr>
                </m:ctrlPr>
              </m:accPr>
              <m:e>
                <m:r>
                  <w:rPr>
                    <w:rFonts w:ascii="Cambria Math" w:hAnsi="Cambria Math" w:cs="Courier New"/>
                  </w:rPr>
                  <m:t>B</m:t>
                </m:r>
              </m:e>
            </m:acc>
          </m:e>
          <m:sub>
            <m:r>
              <w:rPr>
                <w:rFonts w:ascii="Cambria Math" w:hAnsi="Cambria Math" w:cs="Courier New"/>
              </w:rPr>
              <m:t>strong</m:t>
            </m:r>
          </m:sub>
        </m:sSub>
      </m:oMath>
      <w:r w:rsidR="00E65BDC">
        <w:rPr>
          <w:rFonts w:asciiTheme="minorHAnsi" w:eastAsiaTheme="minorEastAsia" w:hAnsiTheme="minorHAnsi" w:cs="Courier New"/>
          <w:sz w:val="22"/>
          <w:szCs w:val="22"/>
        </w:rPr>
        <w:t xml:space="preserve">) </w:t>
      </w:r>
      <w:r>
        <w:rPr>
          <w:rFonts w:asciiTheme="minorHAnsi" w:eastAsiaTheme="minorEastAsia" w:hAnsiTheme="minorHAnsi" w:cs="Courier New"/>
          <w:sz w:val="22"/>
          <w:szCs w:val="22"/>
        </w:rPr>
        <w:t>if there are also ISDS provisions for binding rules and unrestricted claims cove</w:t>
      </w:r>
      <w:r>
        <w:rPr>
          <w:rFonts w:asciiTheme="minorHAnsi" w:eastAsiaTheme="minorEastAsia" w:hAnsiTheme="minorHAnsi" w:cs="Courier New"/>
          <w:sz w:val="22"/>
          <w:szCs w:val="22"/>
        </w:rPr>
        <w:t>r</w:t>
      </w:r>
      <w:r>
        <w:rPr>
          <w:rFonts w:asciiTheme="minorHAnsi" w:eastAsiaTheme="minorEastAsia" w:hAnsiTheme="minorHAnsi" w:cs="Courier New"/>
          <w:sz w:val="22"/>
          <w:szCs w:val="22"/>
        </w:rPr>
        <w:t xml:space="preserve">age and the interaction of both of these provisions. The results of Wald tests on both statistics are shown in the lower panel of table 3 column (1). This indicates that we </w:t>
      </w:r>
      <w:r w:rsidR="00E65BDC">
        <w:rPr>
          <w:rFonts w:asciiTheme="minorHAnsi" w:eastAsiaTheme="minorEastAsia" w:hAnsiTheme="minorHAnsi" w:cs="Courier New"/>
          <w:sz w:val="22"/>
          <w:szCs w:val="22"/>
        </w:rPr>
        <w:t>fail to</w:t>
      </w:r>
      <w:r>
        <w:rPr>
          <w:rFonts w:asciiTheme="minorHAnsi" w:eastAsiaTheme="minorEastAsia" w:hAnsiTheme="minorHAnsi" w:cs="Courier New"/>
          <w:sz w:val="22"/>
          <w:szCs w:val="22"/>
        </w:rPr>
        <w:t xml:space="preserve"> reject the null hypothesis that the estimates are statistically different from zero.   </w:t>
      </w:r>
    </w:p>
    <w:tbl>
      <w:tblPr>
        <w:tblW w:w="9597" w:type="dxa"/>
        <w:tblInd w:w="93" w:type="dxa"/>
        <w:tblLook w:val="04A0" w:firstRow="1" w:lastRow="0" w:firstColumn="1" w:lastColumn="0" w:noHBand="0" w:noVBand="1"/>
      </w:tblPr>
      <w:tblGrid>
        <w:gridCol w:w="578"/>
        <w:gridCol w:w="2521"/>
        <w:gridCol w:w="1245"/>
        <w:gridCol w:w="1378"/>
        <w:gridCol w:w="1378"/>
        <w:gridCol w:w="1245"/>
        <w:gridCol w:w="1252"/>
      </w:tblGrid>
      <w:tr w:rsidR="00B05451" w:rsidRPr="00524A1A" w:rsidTr="00296501">
        <w:trPr>
          <w:trHeight w:val="167"/>
        </w:trPr>
        <w:tc>
          <w:tcPr>
            <w:tcW w:w="9597" w:type="dxa"/>
            <w:gridSpan w:val="7"/>
            <w:tcBorders>
              <w:top w:val="nil"/>
              <w:left w:val="nil"/>
              <w:bottom w:val="nil"/>
              <w:right w:val="nil"/>
            </w:tcBorders>
            <w:shd w:val="clear" w:color="000000" w:fill="F2DCDB"/>
            <w:vAlign w:val="center"/>
            <w:hideMark/>
          </w:tcPr>
          <w:p w:rsidR="00B05451" w:rsidRPr="00524A1A" w:rsidRDefault="00B05451" w:rsidP="00B05451">
            <w:pPr>
              <w:spacing w:after="0" w:line="240" w:lineRule="auto"/>
              <w:rPr>
                <w:rFonts w:ascii="Gill Sans MT" w:eastAsia="Times New Roman" w:hAnsi="Gill Sans MT" w:cs="Times New Roman"/>
                <w:color w:val="953735"/>
                <w:sz w:val="24"/>
                <w:szCs w:val="24"/>
                <w:lang w:eastAsia="en-GB"/>
              </w:rPr>
            </w:pPr>
            <w:r w:rsidRPr="00524A1A">
              <w:rPr>
                <w:rFonts w:ascii="Gill Sans MT" w:eastAsia="Times New Roman" w:hAnsi="Gill Sans MT" w:cs="Times New Roman"/>
                <w:color w:val="953735"/>
                <w:sz w:val="24"/>
                <w:szCs w:val="24"/>
                <w:lang w:eastAsia="en-GB"/>
              </w:rPr>
              <w:lastRenderedPageBreak/>
              <w:t>Table 3. PPML Estimation for the Effect of BITs on FDI in OECD Countries</w:t>
            </w:r>
          </w:p>
        </w:tc>
      </w:tr>
      <w:tr w:rsidR="00B05451" w:rsidRPr="00524A1A" w:rsidTr="00296501">
        <w:trPr>
          <w:trHeight w:val="147"/>
        </w:trPr>
        <w:tc>
          <w:tcPr>
            <w:tcW w:w="3099" w:type="dxa"/>
            <w:gridSpan w:val="2"/>
            <w:vMerge w:val="restart"/>
            <w:tcBorders>
              <w:top w:val="nil"/>
              <w:left w:val="nil"/>
              <w:bottom w:val="single" w:sz="8" w:space="0" w:color="AA273E"/>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Independent Variables:</w:t>
            </w:r>
          </w:p>
        </w:tc>
        <w:tc>
          <w:tcPr>
            <w:tcW w:w="6498" w:type="dxa"/>
            <w:gridSpan w:val="5"/>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9E0BB4">
              <w:rPr>
                <w:rFonts w:ascii="Gill Sans MT" w:eastAsia="Times New Roman" w:hAnsi="Gill Sans MT" w:cs="Times New Roman"/>
                <w:color w:val="000000"/>
                <w:lang w:eastAsia="en-GB"/>
              </w:rPr>
              <w:t>Dependent Variable: FDI</w:t>
            </w:r>
            <w:r w:rsidRPr="009E0BB4">
              <w:rPr>
                <w:rFonts w:ascii="Gill Sans MT" w:eastAsia="Times New Roman" w:hAnsi="Gill Sans MT" w:cs="Times New Roman"/>
                <w:color w:val="000000"/>
                <w:vertAlign w:val="subscript"/>
                <w:lang w:eastAsia="en-GB"/>
              </w:rPr>
              <w:t>ijt</w:t>
            </w:r>
          </w:p>
        </w:tc>
      </w:tr>
      <w:tr w:rsidR="00B05451" w:rsidRPr="00524A1A" w:rsidTr="00296501">
        <w:trPr>
          <w:trHeight w:val="153"/>
        </w:trPr>
        <w:tc>
          <w:tcPr>
            <w:tcW w:w="3099" w:type="dxa"/>
            <w:gridSpan w:val="2"/>
            <w:vMerge/>
            <w:tcBorders>
              <w:top w:val="nil"/>
              <w:left w:val="nil"/>
              <w:bottom w:val="single" w:sz="8" w:space="0" w:color="AA273E"/>
              <w:right w:val="nil"/>
            </w:tcBorders>
            <w:vAlign w:val="center"/>
            <w:hideMark/>
          </w:tcPr>
          <w:p w:rsidR="00B05451" w:rsidRPr="00524A1A" w:rsidRDefault="00B05451" w:rsidP="00B05451">
            <w:pPr>
              <w:spacing w:after="0" w:line="240" w:lineRule="auto"/>
              <w:rPr>
                <w:rFonts w:ascii="Gill Sans MT" w:eastAsia="Times New Roman" w:hAnsi="Gill Sans MT" w:cs="Times New Roman"/>
                <w:color w:val="000000"/>
                <w:lang w:eastAsia="en-GB"/>
              </w:rPr>
            </w:pPr>
          </w:p>
        </w:tc>
        <w:tc>
          <w:tcPr>
            <w:tcW w:w="1245" w:type="dxa"/>
            <w:tcBorders>
              <w:top w:val="nil"/>
              <w:left w:val="nil"/>
              <w:bottom w:val="single" w:sz="8" w:space="0" w:color="AA273E"/>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w:t>
            </w:r>
            <w:r>
              <w:rPr>
                <w:rFonts w:ascii="Gill Sans MT" w:eastAsia="Times New Roman" w:hAnsi="Gill Sans MT" w:cs="Times New Roman"/>
                <w:color w:val="000000"/>
                <w:lang w:eastAsia="en-GB"/>
              </w:rPr>
              <w:t>1</w:t>
            </w:r>
            <w:r w:rsidRPr="00524A1A">
              <w:rPr>
                <w:rFonts w:ascii="Gill Sans MT" w:eastAsia="Times New Roman" w:hAnsi="Gill Sans MT" w:cs="Times New Roman"/>
                <w:color w:val="000000"/>
                <w:lang w:eastAsia="en-GB"/>
              </w:rPr>
              <w:t>)</w:t>
            </w:r>
          </w:p>
        </w:tc>
        <w:tc>
          <w:tcPr>
            <w:tcW w:w="1378" w:type="dxa"/>
            <w:tcBorders>
              <w:top w:val="nil"/>
              <w:left w:val="nil"/>
              <w:bottom w:val="single" w:sz="8" w:space="0" w:color="AA273E"/>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w:t>
            </w:r>
            <w:r>
              <w:rPr>
                <w:rFonts w:ascii="Gill Sans MT" w:eastAsia="Times New Roman" w:hAnsi="Gill Sans MT" w:cs="Times New Roman"/>
                <w:color w:val="000000"/>
                <w:lang w:eastAsia="en-GB"/>
              </w:rPr>
              <w:t>2</w:t>
            </w:r>
            <w:r w:rsidRPr="00524A1A">
              <w:rPr>
                <w:rFonts w:ascii="Gill Sans MT" w:eastAsia="Times New Roman" w:hAnsi="Gill Sans MT" w:cs="Times New Roman"/>
                <w:color w:val="000000"/>
                <w:lang w:eastAsia="en-GB"/>
              </w:rPr>
              <w:t>)</w:t>
            </w:r>
          </w:p>
        </w:tc>
        <w:tc>
          <w:tcPr>
            <w:tcW w:w="1378" w:type="dxa"/>
            <w:tcBorders>
              <w:top w:val="nil"/>
              <w:left w:val="nil"/>
              <w:bottom w:val="single" w:sz="8" w:space="0" w:color="AA273E"/>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w:t>
            </w:r>
            <w:r>
              <w:rPr>
                <w:rFonts w:ascii="Gill Sans MT" w:eastAsia="Times New Roman" w:hAnsi="Gill Sans MT" w:cs="Times New Roman"/>
                <w:color w:val="000000"/>
                <w:lang w:eastAsia="en-GB"/>
              </w:rPr>
              <w:t>3</w:t>
            </w:r>
            <w:r w:rsidRPr="00524A1A">
              <w:rPr>
                <w:rFonts w:ascii="Gill Sans MT" w:eastAsia="Times New Roman" w:hAnsi="Gill Sans MT" w:cs="Times New Roman"/>
                <w:color w:val="000000"/>
                <w:lang w:eastAsia="en-GB"/>
              </w:rPr>
              <w:t>)</w:t>
            </w:r>
          </w:p>
        </w:tc>
        <w:tc>
          <w:tcPr>
            <w:tcW w:w="1245" w:type="dxa"/>
            <w:tcBorders>
              <w:top w:val="nil"/>
              <w:left w:val="nil"/>
              <w:bottom w:val="single" w:sz="8" w:space="0" w:color="AA273E"/>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w:t>
            </w:r>
            <w:r>
              <w:rPr>
                <w:rFonts w:ascii="Gill Sans MT" w:eastAsia="Times New Roman" w:hAnsi="Gill Sans MT" w:cs="Times New Roman"/>
                <w:color w:val="000000"/>
                <w:lang w:eastAsia="en-GB"/>
              </w:rPr>
              <w:t>4</w:t>
            </w:r>
            <w:r w:rsidRPr="00524A1A">
              <w:rPr>
                <w:rFonts w:ascii="Gill Sans MT" w:eastAsia="Times New Roman" w:hAnsi="Gill Sans MT" w:cs="Times New Roman"/>
                <w:color w:val="000000"/>
                <w:lang w:eastAsia="en-GB"/>
              </w:rPr>
              <w:t>)</w:t>
            </w:r>
          </w:p>
        </w:tc>
        <w:tc>
          <w:tcPr>
            <w:tcW w:w="1251" w:type="dxa"/>
            <w:tcBorders>
              <w:top w:val="nil"/>
              <w:left w:val="nil"/>
              <w:bottom w:val="single" w:sz="8" w:space="0" w:color="AA273E"/>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w:t>
            </w:r>
            <w:r>
              <w:rPr>
                <w:rFonts w:ascii="Gill Sans MT" w:eastAsia="Times New Roman" w:hAnsi="Gill Sans MT" w:cs="Times New Roman"/>
                <w:color w:val="000000"/>
                <w:lang w:eastAsia="en-GB"/>
              </w:rPr>
              <w:t>5</w:t>
            </w:r>
            <w:r w:rsidRPr="00524A1A">
              <w:rPr>
                <w:rFonts w:ascii="Gill Sans MT" w:eastAsia="Times New Roman" w:hAnsi="Gill Sans MT" w:cs="Times New Roman"/>
                <w:color w:val="000000"/>
                <w:lang w:eastAsia="en-GB"/>
              </w:rPr>
              <w:t>)</w:t>
            </w:r>
          </w:p>
        </w:tc>
      </w:tr>
      <w:tr w:rsidR="00B05451" w:rsidRPr="00524A1A" w:rsidTr="00296501">
        <w:trPr>
          <w:trHeight w:val="127"/>
        </w:trPr>
        <w:tc>
          <w:tcPr>
            <w:tcW w:w="3099" w:type="dxa"/>
            <w:gridSpan w:val="2"/>
            <w:vMerge w:val="restart"/>
            <w:tcBorders>
              <w:top w:val="single" w:sz="8" w:space="0" w:color="AA273E"/>
              <w:left w:val="nil"/>
              <w:bottom w:val="nil"/>
              <w:right w:val="nil"/>
            </w:tcBorders>
            <w:shd w:val="clear" w:color="auto" w:fill="auto"/>
            <w:noWrap/>
            <w:vAlign w:val="center"/>
            <w:hideMark/>
          </w:tcPr>
          <w:p w:rsidR="00B05451" w:rsidRPr="00524A1A" w:rsidRDefault="00B05451" w:rsidP="00B05451">
            <w:pPr>
              <w:spacing w:after="0" w:line="240" w:lineRule="auto"/>
              <w:rPr>
                <w:rFonts w:ascii="Gill Sans MT" w:eastAsia="Times New Roman" w:hAnsi="Gill Sans MT" w:cs="Times New Roman"/>
                <w:i/>
                <w:iCs/>
                <w:color w:val="000000"/>
                <w:lang w:eastAsia="en-GB"/>
              </w:rPr>
            </w:pPr>
            <w:r w:rsidRPr="00524A1A">
              <w:rPr>
                <w:rFonts w:ascii="Gill Sans MT" w:eastAsia="Times New Roman" w:hAnsi="Gill Sans MT" w:cs="Times New Roman"/>
                <w:i/>
                <w:iCs/>
                <w:color w:val="000000"/>
                <w:lang w:eastAsia="en-GB"/>
              </w:rPr>
              <w:t>BIT</w:t>
            </w:r>
            <w:r w:rsidRPr="00524A1A">
              <w:rPr>
                <w:rFonts w:ascii="Gill Sans MT" w:eastAsia="Times New Roman" w:hAnsi="Gill Sans MT" w:cs="Times New Roman"/>
                <w:i/>
                <w:iCs/>
                <w:color w:val="000000"/>
                <w:vertAlign w:val="subscript"/>
                <w:lang w:eastAsia="en-GB"/>
              </w:rPr>
              <w:t>ijt</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3.021***</w:t>
            </w: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3.149***</w:t>
            </w: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2.950***</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3.163***</w:t>
            </w:r>
          </w:p>
        </w:tc>
        <w:tc>
          <w:tcPr>
            <w:tcW w:w="1251"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1.315</w:t>
            </w:r>
          </w:p>
        </w:tc>
      </w:tr>
      <w:tr w:rsidR="00B05451" w:rsidRPr="00524A1A" w:rsidTr="00296501">
        <w:trPr>
          <w:trHeight w:val="127"/>
        </w:trPr>
        <w:tc>
          <w:tcPr>
            <w:tcW w:w="3099" w:type="dxa"/>
            <w:gridSpan w:val="2"/>
            <w:vMerge/>
            <w:tcBorders>
              <w:top w:val="single" w:sz="8" w:space="0" w:color="AA273E"/>
              <w:left w:val="nil"/>
              <w:bottom w:val="nil"/>
              <w:right w:val="nil"/>
            </w:tcBorders>
            <w:vAlign w:val="center"/>
            <w:hideMark/>
          </w:tcPr>
          <w:p w:rsidR="00B05451" w:rsidRPr="00524A1A" w:rsidRDefault="00B05451" w:rsidP="00B05451">
            <w:pPr>
              <w:spacing w:after="0" w:line="240" w:lineRule="auto"/>
              <w:rPr>
                <w:rFonts w:ascii="Gill Sans MT" w:eastAsia="Times New Roman" w:hAnsi="Gill Sans MT" w:cs="Times New Roman"/>
                <w:i/>
                <w:iCs/>
                <w:color w:val="000000"/>
                <w:lang w:eastAsia="en-GB"/>
              </w:rPr>
            </w:pP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(0.773)</w:t>
            </w: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(0.761)</w:t>
            </w: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(0.775)</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(0.838)</w:t>
            </w:r>
          </w:p>
        </w:tc>
        <w:tc>
          <w:tcPr>
            <w:tcW w:w="1251"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(1.518)</w:t>
            </w:r>
          </w:p>
        </w:tc>
      </w:tr>
      <w:tr w:rsidR="00B05451" w:rsidRPr="00524A1A" w:rsidTr="00296501">
        <w:trPr>
          <w:trHeight w:val="127"/>
        </w:trPr>
        <w:tc>
          <w:tcPr>
            <w:tcW w:w="3099" w:type="dxa"/>
            <w:gridSpan w:val="2"/>
            <w:vMerge w:val="restart"/>
            <w:tcBorders>
              <w:top w:val="nil"/>
              <w:left w:val="nil"/>
              <w:bottom w:val="nil"/>
              <w:right w:val="nil"/>
            </w:tcBorders>
            <w:shd w:val="clear" w:color="auto" w:fill="auto"/>
            <w:noWrap/>
            <w:vAlign w:val="center"/>
            <w:hideMark/>
          </w:tcPr>
          <w:p w:rsidR="00B05451" w:rsidRPr="00524A1A" w:rsidRDefault="00B05451" w:rsidP="00B05451">
            <w:pPr>
              <w:spacing w:after="0" w:line="240" w:lineRule="auto"/>
              <w:rPr>
                <w:rFonts w:ascii="Gill Sans MT" w:eastAsia="Times New Roman" w:hAnsi="Gill Sans MT" w:cs="Times New Roman"/>
                <w:i/>
                <w:iCs/>
                <w:color w:val="000000"/>
                <w:lang w:eastAsia="en-GB"/>
              </w:rPr>
            </w:pPr>
            <w:r w:rsidRPr="00524A1A">
              <w:rPr>
                <w:rFonts w:ascii="Gill Sans MT" w:eastAsia="Times New Roman" w:hAnsi="Gill Sans MT" w:cs="Times New Roman"/>
                <w:i/>
                <w:iCs/>
                <w:color w:val="000000"/>
                <w:lang w:eastAsia="en-GB"/>
              </w:rPr>
              <w:t>ISDS_Pre</w:t>
            </w:r>
            <w:r w:rsidRPr="00524A1A">
              <w:rPr>
                <w:rFonts w:ascii="Gill Sans MT" w:eastAsia="Times New Roman" w:hAnsi="Gill Sans MT" w:cs="Times New Roman"/>
                <w:i/>
                <w:iCs/>
                <w:color w:val="000000"/>
                <w:vertAlign w:val="subscript"/>
                <w:lang w:eastAsia="en-GB"/>
              </w:rPr>
              <w:t>ijt</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-2.744***</w:t>
            </w: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-2.689***</w:t>
            </w: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-2.471***</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-2.654***</w:t>
            </w:r>
          </w:p>
        </w:tc>
        <w:tc>
          <w:tcPr>
            <w:tcW w:w="1251"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1.055</w:t>
            </w:r>
          </w:p>
        </w:tc>
      </w:tr>
      <w:tr w:rsidR="00B05451" w:rsidRPr="00524A1A" w:rsidTr="00296501">
        <w:trPr>
          <w:trHeight w:val="127"/>
        </w:trPr>
        <w:tc>
          <w:tcPr>
            <w:tcW w:w="3099" w:type="dxa"/>
            <w:gridSpan w:val="2"/>
            <w:vMerge/>
            <w:tcBorders>
              <w:top w:val="nil"/>
              <w:left w:val="nil"/>
              <w:bottom w:val="nil"/>
              <w:right w:val="nil"/>
            </w:tcBorders>
            <w:vAlign w:val="center"/>
            <w:hideMark/>
          </w:tcPr>
          <w:p w:rsidR="00B05451" w:rsidRPr="00524A1A" w:rsidRDefault="00B05451" w:rsidP="00B05451">
            <w:pPr>
              <w:spacing w:after="0" w:line="240" w:lineRule="auto"/>
              <w:rPr>
                <w:rFonts w:ascii="Gill Sans MT" w:eastAsia="Times New Roman" w:hAnsi="Gill Sans MT" w:cs="Times New Roman"/>
                <w:i/>
                <w:iCs/>
                <w:color w:val="000000"/>
                <w:lang w:eastAsia="en-GB"/>
              </w:rPr>
            </w:pP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(0.729)</w:t>
            </w: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(0.732)</w:t>
            </w: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(0.742)</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(0.809)</w:t>
            </w:r>
          </w:p>
        </w:tc>
        <w:tc>
          <w:tcPr>
            <w:tcW w:w="1251"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(1.503)</w:t>
            </w:r>
          </w:p>
        </w:tc>
      </w:tr>
      <w:tr w:rsidR="00B05451" w:rsidRPr="00524A1A" w:rsidTr="00296501">
        <w:trPr>
          <w:trHeight w:val="127"/>
        </w:trPr>
        <w:tc>
          <w:tcPr>
            <w:tcW w:w="3099" w:type="dxa"/>
            <w:gridSpan w:val="2"/>
            <w:vMerge w:val="restart"/>
            <w:tcBorders>
              <w:top w:val="nil"/>
              <w:left w:val="nil"/>
              <w:bottom w:val="nil"/>
              <w:right w:val="nil"/>
            </w:tcBorders>
            <w:shd w:val="clear" w:color="auto" w:fill="auto"/>
            <w:noWrap/>
            <w:vAlign w:val="center"/>
            <w:hideMark/>
          </w:tcPr>
          <w:p w:rsidR="00B05451" w:rsidRPr="00524A1A" w:rsidRDefault="00B05451" w:rsidP="00B05451">
            <w:pPr>
              <w:spacing w:after="0" w:line="240" w:lineRule="auto"/>
              <w:rPr>
                <w:rFonts w:ascii="Gill Sans MT" w:eastAsia="Times New Roman" w:hAnsi="Gill Sans MT" w:cs="Times New Roman"/>
                <w:i/>
                <w:iCs/>
                <w:color w:val="000000"/>
                <w:lang w:eastAsia="en-GB"/>
              </w:rPr>
            </w:pPr>
            <w:r w:rsidRPr="00524A1A">
              <w:rPr>
                <w:rFonts w:ascii="Gill Sans MT" w:eastAsia="Times New Roman" w:hAnsi="Gill Sans MT" w:cs="Times New Roman"/>
                <w:i/>
                <w:iCs/>
                <w:color w:val="000000"/>
                <w:lang w:eastAsia="en-GB"/>
              </w:rPr>
              <w:t>ISDS_Unre</w:t>
            </w:r>
            <w:r w:rsidRPr="00524A1A">
              <w:rPr>
                <w:rFonts w:ascii="Gill Sans MT" w:eastAsia="Times New Roman" w:hAnsi="Gill Sans MT" w:cs="Times New Roman"/>
                <w:i/>
                <w:iCs/>
                <w:color w:val="000000"/>
                <w:vertAlign w:val="subscript"/>
                <w:lang w:eastAsia="en-GB"/>
              </w:rPr>
              <w:t>ijt</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-0.562</w:t>
            </w: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-0.691**</w:t>
            </w: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-0.644*</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-0.728*</w:t>
            </w:r>
          </w:p>
        </w:tc>
        <w:tc>
          <w:tcPr>
            <w:tcW w:w="1251"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-2.911*</w:t>
            </w:r>
          </w:p>
        </w:tc>
      </w:tr>
      <w:tr w:rsidR="00B05451" w:rsidRPr="00524A1A" w:rsidTr="00296501">
        <w:trPr>
          <w:trHeight w:val="127"/>
        </w:trPr>
        <w:tc>
          <w:tcPr>
            <w:tcW w:w="3099" w:type="dxa"/>
            <w:gridSpan w:val="2"/>
            <w:vMerge/>
            <w:tcBorders>
              <w:top w:val="nil"/>
              <w:left w:val="nil"/>
              <w:bottom w:val="nil"/>
              <w:right w:val="nil"/>
            </w:tcBorders>
            <w:vAlign w:val="center"/>
            <w:hideMark/>
          </w:tcPr>
          <w:p w:rsidR="00B05451" w:rsidRPr="00524A1A" w:rsidRDefault="00B05451" w:rsidP="00B05451">
            <w:pPr>
              <w:spacing w:after="0" w:line="240" w:lineRule="auto"/>
              <w:rPr>
                <w:rFonts w:ascii="Gill Sans MT" w:eastAsia="Times New Roman" w:hAnsi="Gill Sans MT" w:cs="Times New Roman"/>
                <w:i/>
                <w:iCs/>
                <w:color w:val="000000"/>
                <w:lang w:eastAsia="en-GB"/>
              </w:rPr>
            </w:pP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(0.378)</w:t>
            </w: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(0.343)</w:t>
            </w: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(0.354)</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(0.393)</w:t>
            </w:r>
          </w:p>
        </w:tc>
        <w:tc>
          <w:tcPr>
            <w:tcW w:w="1251"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(1.666)</w:t>
            </w:r>
          </w:p>
        </w:tc>
      </w:tr>
      <w:tr w:rsidR="00B05451" w:rsidRPr="00524A1A" w:rsidTr="00296501">
        <w:trPr>
          <w:trHeight w:val="127"/>
        </w:trPr>
        <w:tc>
          <w:tcPr>
            <w:tcW w:w="3099" w:type="dxa"/>
            <w:gridSpan w:val="2"/>
            <w:vMerge w:val="restart"/>
            <w:tcBorders>
              <w:top w:val="nil"/>
              <w:left w:val="nil"/>
              <w:bottom w:val="nil"/>
              <w:right w:val="nil"/>
            </w:tcBorders>
            <w:shd w:val="clear" w:color="auto" w:fill="auto"/>
            <w:noWrap/>
            <w:vAlign w:val="center"/>
            <w:hideMark/>
          </w:tcPr>
          <w:p w:rsidR="00B05451" w:rsidRPr="00524A1A" w:rsidRDefault="00B05451" w:rsidP="00B05451">
            <w:pPr>
              <w:spacing w:after="0" w:line="240" w:lineRule="auto"/>
              <w:rPr>
                <w:rFonts w:ascii="Gill Sans MT" w:eastAsia="Times New Roman" w:hAnsi="Gill Sans MT" w:cs="Times New Roman"/>
                <w:i/>
                <w:iCs/>
                <w:color w:val="000000"/>
                <w:lang w:eastAsia="en-GB"/>
              </w:rPr>
            </w:pPr>
            <w:r w:rsidRPr="00524A1A">
              <w:rPr>
                <w:rFonts w:ascii="Gill Sans MT" w:eastAsia="Times New Roman" w:hAnsi="Gill Sans MT" w:cs="Times New Roman"/>
                <w:i/>
                <w:iCs/>
                <w:color w:val="000000"/>
                <w:lang w:eastAsia="en-GB"/>
              </w:rPr>
              <w:t>ISDS_Bin</w:t>
            </w:r>
            <w:r w:rsidRPr="00524A1A">
              <w:rPr>
                <w:rFonts w:ascii="Gill Sans MT" w:eastAsia="Times New Roman" w:hAnsi="Gill Sans MT" w:cs="Times New Roman"/>
                <w:i/>
                <w:iCs/>
                <w:color w:val="000000"/>
                <w:vertAlign w:val="subscript"/>
                <w:lang w:eastAsia="en-GB"/>
              </w:rPr>
              <w:t>ijt</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-0.477</w:t>
            </w: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-0.515*</w:t>
            </w: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-0.508*</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-0.653***</w:t>
            </w:r>
          </w:p>
        </w:tc>
        <w:tc>
          <w:tcPr>
            <w:tcW w:w="1251"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-7.543***</w:t>
            </w:r>
          </w:p>
        </w:tc>
      </w:tr>
      <w:tr w:rsidR="00B05451" w:rsidRPr="00524A1A" w:rsidTr="00296501">
        <w:trPr>
          <w:trHeight w:val="127"/>
        </w:trPr>
        <w:tc>
          <w:tcPr>
            <w:tcW w:w="3099" w:type="dxa"/>
            <w:gridSpan w:val="2"/>
            <w:vMerge/>
            <w:tcBorders>
              <w:top w:val="nil"/>
              <w:left w:val="nil"/>
              <w:bottom w:val="nil"/>
              <w:right w:val="nil"/>
            </w:tcBorders>
            <w:vAlign w:val="center"/>
            <w:hideMark/>
          </w:tcPr>
          <w:p w:rsidR="00B05451" w:rsidRPr="00524A1A" w:rsidRDefault="00B05451" w:rsidP="00B05451">
            <w:pPr>
              <w:spacing w:after="0" w:line="240" w:lineRule="auto"/>
              <w:rPr>
                <w:rFonts w:ascii="Gill Sans MT" w:eastAsia="Times New Roman" w:hAnsi="Gill Sans MT" w:cs="Times New Roman"/>
                <w:i/>
                <w:iCs/>
                <w:color w:val="000000"/>
                <w:lang w:eastAsia="en-GB"/>
              </w:rPr>
            </w:pP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(0.321)</w:t>
            </w: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(0.266)</w:t>
            </w: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(0.269)</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(0.250)</w:t>
            </w:r>
          </w:p>
        </w:tc>
        <w:tc>
          <w:tcPr>
            <w:tcW w:w="1251"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(1.453)</w:t>
            </w:r>
          </w:p>
        </w:tc>
      </w:tr>
      <w:tr w:rsidR="00B05451" w:rsidRPr="00524A1A" w:rsidTr="00296501">
        <w:trPr>
          <w:trHeight w:val="127"/>
        </w:trPr>
        <w:tc>
          <w:tcPr>
            <w:tcW w:w="3099" w:type="dxa"/>
            <w:gridSpan w:val="2"/>
            <w:vMerge w:val="restart"/>
            <w:tcBorders>
              <w:top w:val="nil"/>
              <w:left w:val="nil"/>
              <w:bottom w:val="nil"/>
              <w:right w:val="nil"/>
            </w:tcBorders>
            <w:shd w:val="clear" w:color="auto" w:fill="auto"/>
            <w:noWrap/>
            <w:vAlign w:val="center"/>
            <w:hideMark/>
          </w:tcPr>
          <w:p w:rsidR="00B05451" w:rsidRPr="00524A1A" w:rsidRDefault="00B05451" w:rsidP="00B05451">
            <w:pPr>
              <w:spacing w:after="0" w:line="240" w:lineRule="auto"/>
              <w:rPr>
                <w:rFonts w:ascii="Gill Sans MT" w:eastAsia="Times New Roman" w:hAnsi="Gill Sans MT" w:cs="Times New Roman"/>
                <w:i/>
                <w:iCs/>
                <w:color w:val="000000"/>
                <w:lang w:eastAsia="en-GB"/>
              </w:rPr>
            </w:pPr>
            <w:r w:rsidRPr="00524A1A">
              <w:rPr>
                <w:rFonts w:ascii="Gill Sans MT" w:eastAsia="Times New Roman" w:hAnsi="Gill Sans MT" w:cs="Times New Roman"/>
                <w:i/>
                <w:iCs/>
                <w:color w:val="000000"/>
                <w:lang w:eastAsia="en-GB"/>
              </w:rPr>
              <w:t>ISDS_Bin</w:t>
            </w:r>
            <w:r w:rsidRPr="00524A1A">
              <w:rPr>
                <w:rFonts w:ascii="Gill Sans MT" w:eastAsia="Times New Roman" w:hAnsi="Gill Sans MT" w:cs="Times New Roman"/>
                <w:i/>
                <w:iCs/>
                <w:color w:val="000000"/>
                <w:vertAlign w:val="subscript"/>
                <w:lang w:eastAsia="en-GB"/>
              </w:rPr>
              <w:t>ijt</w:t>
            </w:r>
            <w:r w:rsidRPr="00524A1A">
              <w:rPr>
                <w:rFonts w:ascii="Gill Sans MT" w:eastAsia="Times New Roman" w:hAnsi="Gill Sans MT" w:cs="Times New Roman"/>
                <w:i/>
                <w:iCs/>
                <w:color w:val="000000"/>
                <w:lang w:eastAsia="en-GB"/>
              </w:rPr>
              <w:t xml:space="preserve"> * ISDS_Unre</w:t>
            </w:r>
            <w:r w:rsidRPr="00524A1A">
              <w:rPr>
                <w:rFonts w:ascii="Gill Sans MT" w:eastAsia="Times New Roman" w:hAnsi="Gill Sans MT" w:cs="Times New Roman"/>
                <w:i/>
                <w:iCs/>
                <w:color w:val="000000"/>
                <w:vertAlign w:val="subscript"/>
                <w:lang w:eastAsia="en-GB"/>
              </w:rPr>
              <w:t>ijt</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1.259**</w:t>
            </w: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1.716***</w:t>
            </w: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1.677***</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1.657***</w:t>
            </w:r>
          </w:p>
        </w:tc>
        <w:tc>
          <w:tcPr>
            <w:tcW w:w="1251"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4.796**</w:t>
            </w:r>
          </w:p>
        </w:tc>
      </w:tr>
      <w:tr w:rsidR="00B05451" w:rsidRPr="00524A1A" w:rsidTr="00296501">
        <w:trPr>
          <w:trHeight w:val="127"/>
        </w:trPr>
        <w:tc>
          <w:tcPr>
            <w:tcW w:w="3099" w:type="dxa"/>
            <w:gridSpan w:val="2"/>
            <w:vMerge/>
            <w:tcBorders>
              <w:top w:val="nil"/>
              <w:left w:val="nil"/>
              <w:bottom w:val="nil"/>
              <w:right w:val="nil"/>
            </w:tcBorders>
            <w:vAlign w:val="center"/>
            <w:hideMark/>
          </w:tcPr>
          <w:p w:rsidR="00B05451" w:rsidRPr="00524A1A" w:rsidRDefault="00B05451" w:rsidP="00B05451">
            <w:pPr>
              <w:spacing w:after="0" w:line="240" w:lineRule="auto"/>
              <w:rPr>
                <w:rFonts w:ascii="Gill Sans MT" w:eastAsia="Times New Roman" w:hAnsi="Gill Sans MT" w:cs="Times New Roman"/>
                <w:i/>
                <w:iCs/>
                <w:color w:val="000000"/>
                <w:lang w:eastAsia="en-GB"/>
              </w:rPr>
            </w:pP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(0.569)</w:t>
            </w: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(0.520)</w:t>
            </w: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(0.518)</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(0.492)</w:t>
            </w:r>
          </w:p>
        </w:tc>
        <w:tc>
          <w:tcPr>
            <w:tcW w:w="1251"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(2.247)</w:t>
            </w:r>
          </w:p>
        </w:tc>
      </w:tr>
      <w:tr w:rsidR="00B05451" w:rsidRPr="00524A1A" w:rsidTr="00296501">
        <w:trPr>
          <w:trHeight w:val="127"/>
        </w:trPr>
        <w:tc>
          <w:tcPr>
            <w:tcW w:w="3099" w:type="dxa"/>
            <w:gridSpan w:val="2"/>
            <w:vMerge w:val="restart"/>
            <w:tcBorders>
              <w:top w:val="nil"/>
              <w:left w:val="nil"/>
              <w:bottom w:val="nil"/>
              <w:right w:val="nil"/>
            </w:tcBorders>
            <w:shd w:val="clear" w:color="auto" w:fill="auto"/>
            <w:noWrap/>
            <w:vAlign w:val="center"/>
            <w:hideMark/>
          </w:tcPr>
          <w:p w:rsidR="00B05451" w:rsidRPr="00524A1A" w:rsidRDefault="00B05451" w:rsidP="00B05451">
            <w:pPr>
              <w:spacing w:after="0" w:line="240" w:lineRule="auto"/>
              <w:rPr>
                <w:rFonts w:ascii="Gill Sans MT" w:eastAsia="Times New Roman" w:hAnsi="Gill Sans MT" w:cs="Times New Roman"/>
                <w:i/>
                <w:iCs/>
                <w:color w:val="000000"/>
                <w:lang w:eastAsia="en-GB"/>
              </w:rPr>
            </w:pPr>
            <w:r w:rsidRPr="00524A1A">
              <w:rPr>
                <w:rFonts w:ascii="Gill Sans MT" w:eastAsia="Times New Roman" w:hAnsi="Gill Sans MT" w:cs="Times New Roman"/>
                <w:i/>
                <w:iCs/>
                <w:color w:val="000000"/>
                <w:lang w:eastAsia="en-GB"/>
              </w:rPr>
              <w:t>ln(GDP</w:t>
            </w:r>
            <w:r w:rsidRPr="00524A1A">
              <w:rPr>
                <w:rFonts w:ascii="Gill Sans MT" w:eastAsia="Times New Roman" w:hAnsi="Gill Sans MT" w:cs="Times New Roman"/>
                <w:i/>
                <w:iCs/>
                <w:color w:val="000000"/>
                <w:vertAlign w:val="subscript"/>
                <w:lang w:eastAsia="en-GB"/>
              </w:rPr>
              <w:t>it</w:t>
            </w:r>
            <w:r w:rsidRPr="00524A1A">
              <w:rPr>
                <w:rFonts w:ascii="Gill Sans MT" w:eastAsia="Times New Roman" w:hAnsi="Gill Sans MT" w:cs="Times New Roman"/>
                <w:i/>
                <w:iCs/>
                <w:color w:val="000000"/>
                <w:lang w:eastAsia="en-GB"/>
              </w:rPr>
              <w:t>)</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2.250***</w:t>
            </w: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2.406***</w:t>
            </w: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2.436***</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2.359***</w:t>
            </w:r>
          </w:p>
        </w:tc>
        <w:tc>
          <w:tcPr>
            <w:tcW w:w="1251"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2.409***</w:t>
            </w:r>
          </w:p>
        </w:tc>
      </w:tr>
      <w:tr w:rsidR="00B05451" w:rsidRPr="00524A1A" w:rsidTr="00296501">
        <w:trPr>
          <w:trHeight w:val="127"/>
        </w:trPr>
        <w:tc>
          <w:tcPr>
            <w:tcW w:w="3099" w:type="dxa"/>
            <w:gridSpan w:val="2"/>
            <w:vMerge/>
            <w:tcBorders>
              <w:top w:val="nil"/>
              <w:left w:val="nil"/>
              <w:bottom w:val="nil"/>
              <w:right w:val="nil"/>
            </w:tcBorders>
            <w:vAlign w:val="center"/>
            <w:hideMark/>
          </w:tcPr>
          <w:p w:rsidR="00B05451" w:rsidRPr="00524A1A" w:rsidRDefault="00B05451" w:rsidP="00B05451">
            <w:pPr>
              <w:spacing w:after="0" w:line="240" w:lineRule="auto"/>
              <w:rPr>
                <w:rFonts w:ascii="Gill Sans MT" w:eastAsia="Times New Roman" w:hAnsi="Gill Sans MT" w:cs="Times New Roman"/>
                <w:i/>
                <w:iCs/>
                <w:color w:val="000000"/>
                <w:lang w:eastAsia="en-GB"/>
              </w:rPr>
            </w:pP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(0.579)</w:t>
            </w: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(0.577)</w:t>
            </w: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(0.589)</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(0.636)</w:t>
            </w:r>
          </w:p>
        </w:tc>
        <w:tc>
          <w:tcPr>
            <w:tcW w:w="1251"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(0.652)</w:t>
            </w:r>
          </w:p>
        </w:tc>
      </w:tr>
      <w:tr w:rsidR="00B05451" w:rsidRPr="00524A1A" w:rsidTr="00296501">
        <w:trPr>
          <w:trHeight w:val="147"/>
        </w:trPr>
        <w:tc>
          <w:tcPr>
            <w:tcW w:w="3099" w:type="dxa"/>
            <w:gridSpan w:val="2"/>
            <w:vMerge w:val="restart"/>
            <w:tcBorders>
              <w:top w:val="nil"/>
              <w:left w:val="nil"/>
              <w:bottom w:val="nil"/>
              <w:right w:val="nil"/>
            </w:tcBorders>
            <w:shd w:val="clear" w:color="auto" w:fill="auto"/>
            <w:noWrap/>
            <w:vAlign w:val="center"/>
            <w:hideMark/>
          </w:tcPr>
          <w:p w:rsidR="00B05451" w:rsidRPr="00524A1A" w:rsidRDefault="00B05451" w:rsidP="00B05451">
            <w:pPr>
              <w:spacing w:after="0" w:line="240" w:lineRule="auto"/>
              <w:rPr>
                <w:rFonts w:ascii="Gill Sans MT" w:eastAsia="Times New Roman" w:hAnsi="Gill Sans MT" w:cs="Times New Roman"/>
                <w:i/>
                <w:iCs/>
                <w:color w:val="000000"/>
                <w:lang w:eastAsia="en-GB"/>
              </w:rPr>
            </w:pPr>
            <w:r w:rsidRPr="00524A1A">
              <w:rPr>
                <w:rFonts w:ascii="Gill Sans MT" w:eastAsia="Times New Roman" w:hAnsi="Gill Sans MT" w:cs="Times New Roman"/>
                <w:i/>
                <w:iCs/>
                <w:color w:val="000000"/>
                <w:lang w:eastAsia="en-GB"/>
              </w:rPr>
              <w:t>ln(GDP</w:t>
            </w:r>
            <w:r w:rsidRPr="00524A1A">
              <w:rPr>
                <w:rFonts w:ascii="Gill Sans MT" w:eastAsia="Times New Roman" w:hAnsi="Gill Sans MT" w:cs="Times New Roman"/>
                <w:i/>
                <w:iCs/>
                <w:color w:val="000000"/>
                <w:vertAlign w:val="subscript"/>
                <w:lang w:eastAsia="en-GB"/>
              </w:rPr>
              <w:t>jt</w:t>
            </w:r>
            <w:r w:rsidRPr="00524A1A">
              <w:rPr>
                <w:rFonts w:ascii="Gill Sans MT" w:eastAsia="Times New Roman" w:hAnsi="Gill Sans MT" w:cs="Times New Roman"/>
                <w:i/>
                <w:iCs/>
                <w:color w:val="000000"/>
                <w:lang w:eastAsia="en-GB"/>
              </w:rPr>
              <w:t>)</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1.873***</w:t>
            </w: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1.877***</w:t>
            </w: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1.850***</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1.471***</w:t>
            </w:r>
          </w:p>
        </w:tc>
        <w:tc>
          <w:tcPr>
            <w:tcW w:w="1251"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1.460***</w:t>
            </w:r>
          </w:p>
        </w:tc>
      </w:tr>
      <w:tr w:rsidR="00B05451" w:rsidRPr="00524A1A" w:rsidTr="00296501">
        <w:trPr>
          <w:trHeight w:val="127"/>
        </w:trPr>
        <w:tc>
          <w:tcPr>
            <w:tcW w:w="3099" w:type="dxa"/>
            <w:gridSpan w:val="2"/>
            <w:vMerge/>
            <w:tcBorders>
              <w:top w:val="nil"/>
              <w:left w:val="nil"/>
              <w:bottom w:val="nil"/>
              <w:right w:val="nil"/>
            </w:tcBorders>
            <w:vAlign w:val="center"/>
            <w:hideMark/>
          </w:tcPr>
          <w:p w:rsidR="00B05451" w:rsidRPr="00524A1A" w:rsidRDefault="00B05451" w:rsidP="00B05451">
            <w:pPr>
              <w:spacing w:after="0" w:line="240" w:lineRule="auto"/>
              <w:rPr>
                <w:rFonts w:ascii="Gill Sans MT" w:eastAsia="Times New Roman" w:hAnsi="Gill Sans MT" w:cs="Times New Roman"/>
                <w:i/>
                <w:iCs/>
                <w:color w:val="000000"/>
                <w:lang w:eastAsia="en-GB"/>
              </w:rPr>
            </w:pP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(0.451)</w:t>
            </w: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(0.468)</w:t>
            </w: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(0.454)</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(0.505)</w:t>
            </w:r>
          </w:p>
        </w:tc>
        <w:tc>
          <w:tcPr>
            <w:tcW w:w="1251"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(0.505)</w:t>
            </w:r>
          </w:p>
        </w:tc>
      </w:tr>
      <w:tr w:rsidR="00B05451" w:rsidRPr="00524A1A" w:rsidTr="00296501">
        <w:trPr>
          <w:trHeight w:val="127"/>
        </w:trPr>
        <w:tc>
          <w:tcPr>
            <w:tcW w:w="3099" w:type="dxa"/>
            <w:gridSpan w:val="2"/>
            <w:vMerge w:val="restart"/>
            <w:tcBorders>
              <w:top w:val="nil"/>
              <w:left w:val="nil"/>
              <w:bottom w:val="nil"/>
              <w:right w:val="nil"/>
            </w:tcBorders>
            <w:shd w:val="clear" w:color="auto" w:fill="auto"/>
            <w:noWrap/>
            <w:vAlign w:val="center"/>
            <w:hideMark/>
          </w:tcPr>
          <w:p w:rsidR="00B05451" w:rsidRPr="00524A1A" w:rsidRDefault="00B05451" w:rsidP="00B05451">
            <w:pPr>
              <w:spacing w:after="0" w:line="240" w:lineRule="auto"/>
              <w:rPr>
                <w:rFonts w:ascii="Gill Sans MT" w:eastAsia="Times New Roman" w:hAnsi="Gill Sans MT" w:cs="Times New Roman"/>
                <w:i/>
                <w:iCs/>
                <w:color w:val="000000"/>
                <w:lang w:eastAsia="en-GB"/>
              </w:rPr>
            </w:pPr>
            <w:r w:rsidRPr="00524A1A">
              <w:rPr>
                <w:rFonts w:ascii="Gill Sans MT" w:eastAsia="Times New Roman" w:hAnsi="Gill Sans MT" w:cs="Times New Roman"/>
                <w:i/>
                <w:iCs/>
                <w:color w:val="000000"/>
                <w:lang w:eastAsia="en-GB"/>
              </w:rPr>
              <w:t>Polity</w:t>
            </w:r>
            <w:r w:rsidRPr="00524A1A">
              <w:rPr>
                <w:rFonts w:ascii="Gill Sans MT" w:eastAsia="Times New Roman" w:hAnsi="Gill Sans MT" w:cs="Times New Roman"/>
                <w:i/>
                <w:iCs/>
                <w:color w:val="000000"/>
                <w:vertAlign w:val="subscript"/>
                <w:lang w:eastAsia="en-GB"/>
              </w:rPr>
              <w:t>it</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-0.0808***</w:t>
            </w: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-0.0908***</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-0.122***</w:t>
            </w:r>
          </w:p>
        </w:tc>
        <w:tc>
          <w:tcPr>
            <w:tcW w:w="1251"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-0.118***</w:t>
            </w:r>
          </w:p>
        </w:tc>
      </w:tr>
      <w:tr w:rsidR="00B05451" w:rsidRPr="00524A1A" w:rsidTr="00296501">
        <w:trPr>
          <w:trHeight w:val="127"/>
        </w:trPr>
        <w:tc>
          <w:tcPr>
            <w:tcW w:w="3099" w:type="dxa"/>
            <w:gridSpan w:val="2"/>
            <w:vMerge/>
            <w:tcBorders>
              <w:top w:val="nil"/>
              <w:left w:val="nil"/>
              <w:bottom w:val="nil"/>
              <w:right w:val="nil"/>
            </w:tcBorders>
            <w:vAlign w:val="center"/>
            <w:hideMark/>
          </w:tcPr>
          <w:p w:rsidR="00B05451" w:rsidRPr="00524A1A" w:rsidRDefault="00B05451" w:rsidP="00B05451">
            <w:pPr>
              <w:spacing w:after="0" w:line="240" w:lineRule="auto"/>
              <w:rPr>
                <w:rFonts w:ascii="Gill Sans MT" w:eastAsia="Times New Roman" w:hAnsi="Gill Sans MT" w:cs="Times New Roman"/>
                <w:i/>
                <w:iCs/>
                <w:color w:val="000000"/>
                <w:lang w:eastAsia="en-GB"/>
              </w:rPr>
            </w:pP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(0.0238)</w:t>
            </w: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(0.0237)</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(0.0297)</w:t>
            </w:r>
          </w:p>
        </w:tc>
        <w:tc>
          <w:tcPr>
            <w:tcW w:w="1251"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(0.0318)</w:t>
            </w:r>
          </w:p>
        </w:tc>
      </w:tr>
      <w:tr w:rsidR="00B05451" w:rsidRPr="00524A1A" w:rsidTr="00296501">
        <w:trPr>
          <w:trHeight w:val="127"/>
        </w:trPr>
        <w:tc>
          <w:tcPr>
            <w:tcW w:w="3099" w:type="dxa"/>
            <w:gridSpan w:val="2"/>
            <w:vMerge w:val="restart"/>
            <w:tcBorders>
              <w:top w:val="nil"/>
              <w:left w:val="nil"/>
              <w:bottom w:val="nil"/>
              <w:right w:val="nil"/>
            </w:tcBorders>
            <w:shd w:val="clear" w:color="auto" w:fill="auto"/>
            <w:noWrap/>
            <w:vAlign w:val="center"/>
            <w:hideMark/>
          </w:tcPr>
          <w:p w:rsidR="00B05451" w:rsidRPr="00524A1A" w:rsidRDefault="00B05451" w:rsidP="00B05451">
            <w:pPr>
              <w:spacing w:after="0" w:line="240" w:lineRule="auto"/>
              <w:rPr>
                <w:rFonts w:ascii="Gill Sans MT" w:eastAsia="Times New Roman" w:hAnsi="Gill Sans MT" w:cs="Times New Roman"/>
                <w:i/>
                <w:iCs/>
                <w:color w:val="000000"/>
                <w:lang w:eastAsia="en-GB"/>
              </w:rPr>
            </w:pPr>
            <w:r w:rsidRPr="00524A1A">
              <w:rPr>
                <w:rFonts w:ascii="Gill Sans MT" w:eastAsia="Times New Roman" w:hAnsi="Gill Sans MT" w:cs="Times New Roman"/>
                <w:i/>
                <w:iCs/>
                <w:color w:val="000000"/>
                <w:lang w:eastAsia="en-GB"/>
              </w:rPr>
              <w:t>PTA</w:t>
            </w:r>
            <w:r w:rsidRPr="00524A1A">
              <w:rPr>
                <w:rFonts w:ascii="Gill Sans MT" w:eastAsia="Times New Roman" w:hAnsi="Gill Sans MT" w:cs="Times New Roman"/>
                <w:i/>
                <w:iCs/>
                <w:color w:val="000000"/>
                <w:vertAlign w:val="subscript"/>
                <w:lang w:eastAsia="en-GB"/>
              </w:rPr>
              <w:t>ijt</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-0.323</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-0.384</w:t>
            </w:r>
          </w:p>
        </w:tc>
        <w:tc>
          <w:tcPr>
            <w:tcW w:w="1251"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-0.401</w:t>
            </w:r>
          </w:p>
        </w:tc>
      </w:tr>
      <w:tr w:rsidR="00B05451" w:rsidRPr="00524A1A" w:rsidTr="00296501">
        <w:trPr>
          <w:trHeight w:val="127"/>
        </w:trPr>
        <w:tc>
          <w:tcPr>
            <w:tcW w:w="3099" w:type="dxa"/>
            <w:gridSpan w:val="2"/>
            <w:vMerge/>
            <w:tcBorders>
              <w:top w:val="nil"/>
              <w:left w:val="nil"/>
              <w:bottom w:val="nil"/>
              <w:right w:val="nil"/>
            </w:tcBorders>
            <w:vAlign w:val="center"/>
            <w:hideMark/>
          </w:tcPr>
          <w:p w:rsidR="00B05451" w:rsidRPr="00524A1A" w:rsidRDefault="00B05451" w:rsidP="00B05451">
            <w:pPr>
              <w:spacing w:after="0" w:line="240" w:lineRule="auto"/>
              <w:rPr>
                <w:rFonts w:ascii="Gill Sans MT" w:eastAsia="Times New Roman" w:hAnsi="Gill Sans MT" w:cs="Times New Roman"/>
                <w:i/>
                <w:iCs/>
                <w:color w:val="000000"/>
                <w:lang w:eastAsia="en-GB"/>
              </w:rPr>
            </w:pP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(0.288)</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(0.284)</w:t>
            </w:r>
          </w:p>
        </w:tc>
        <w:tc>
          <w:tcPr>
            <w:tcW w:w="1251"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(0.287)</w:t>
            </w:r>
          </w:p>
        </w:tc>
      </w:tr>
      <w:tr w:rsidR="00B05451" w:rsidRPr="00524A1A" w:rsidTr="00296501">
        <w:trPr>
          <w:trHeight w:val="127"/>
        </w:trPr>
        <w:tc>
          <w:tcPr>
            <w:tcW w:w="3099" w:type="dxa"/>
            <w:gridSpan w:val="2"/>
            <w:vMerge w:val="restart"/>
            <w:tcBorders>
              <w:top w:val="nil"/>
              <w:left w:val="nil"/>
              <w:bottom w:val="nil"/>
              <w:right w:val="nil"/>
            </w:tcBorders>
            <w:shd w:val="clear" w:color="auto" w:fill="auto"/>
            <w:noWrap/>
            <w:vAlign w:val="center"/>
            <w:hideMark/>
          </w:tcPr>
          <w:p w:rsidR="00B05451" w:rsidRPr="00524A1A" w:rsidRDefault="00B05451" w:rsidP="00B05451">
            <w:pPr>
              <w:spacing w:after="0" w:line="240" w:lineRule="auto"/>
              <w:rPr>
                <w:rFonts w:ascii="Gill Sans MT" w:eastAsia="Times New Roman" w:hAnsi="Gill Sans MT" w:cs="Times New Roman"/>
                <w:i/>
                <w:iCs/>
                <w:color w:val="000000"/>
                <w:lang w:eastAsia="en-GB"/>
              </w:rPr>
            </w:pPr>
            <w:r w:rsidRPr="00524A1A">
              <w:rPr>
                <w:rFonts w:ascii="Gill Sans MT" w:eastAsia="Times New Roman" w:hAnsi="Gill Sans MT" w:cs="Times New Roman"/>
                <w:i/>
                <w:iCs/>
                <w:color w:val="000000"/>
                <w:lang w:eastAsia="en-GB"/>
              </w:rPr>
              <w:t>Inv_Pro</w:t>
            </w:r>
            <w:r w:rsidRPr="00524A1A">
              <w:rPr>
                <w:rFonts w:ascii="Gill Sans MT" w:eastAsia="Times New Roman" w:hAnsi="Gill Sans MT" w:cs="Times New Roman"/>
                <w:i/>
                <w:iCs/>
                <w:color w:val="000000"/>
                <w:vertAlign w:val="subscript"/>
                <w:lang w:eastAsia="en-GB"/>
              </w:rPr>
              <w:t>ijt</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0.0643**</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0.0497</w:t>
            </w:r>
          </w:p>
        </w:tc>
        <w:tc>
          <w:tcPr>
            <w:tcW w:w="1251"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0.0507*</w:t>
            </w:r>
          </w:p>
        </w:tc>
      </w:tr>
      <w:tr w:rsidR="00B05451" w:rsidRPr="00524A1A" w:rsidTr="00296501">
        <w:trPr>
          <w:trHeight w:val="127"/>
        </w:trPr>
        <w:tc>
          <w:tcPr>
            <w:tcW w:w="3099" w:type="dxa"/>
            <w:gridSpan w:val="2"/>
            <w:vMerge/>
            <w:tcBorders>
              <w:top w:val="nil"/>
              <w:left w:val="nil"/>
              <w:bottom w:val="nil"/>
              <w:right w:val="nil"/>
            </w:tcBorders>
            <w:vAlign w:val="center"/>
            <w:hideMark/>
          </w:tcPr>
          <w:p w:rsidR="00B05451" w:rsidRPr="00524A1A" w:rsidRDefault="00B05451" w:rsidP="00B05451">
            <w:pPr>
              <w:spacing w:after="0" w:line="240" w:lineRule="auto"/>
              <w:rPr>
                <w:rFonts w:ascii="Gill Sans MT" w:eastAsia="Times New Roman" w:hAnsi="Gill Sans MT" w:cs="Times New Roman"/>
                <w:i/>
                <w:iCs/>
                <w:color w:val="000000"/>
                <w:lang w:eastAsia="en-GB"/>
              </w:rPr>
            </w:pP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(0.0316)</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(0.0305)</w:t>
            </w:r>
          </w:p>
        </w:tc>
        <w:tc>
          <w:tcPr>
            <w:tcW w:w="1251"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(0.0307)</w:t>
            </w:r>
          </w:p>
        </w:tc>
      </w:tr>
      <w:tr w:rsidR="00B05451" w:rsidRPr="00524A1A" w:rsidTr="00296501">
        <w:trPr>
          <w:trHeight w:val="127"/>
        </w:trPr>
        <w:tc>
          <w:tcPr>
            <w:tcW w:w="3099" w:type="dxa"/>
            <w:gridSpan w:val="2"/>
            <w:vMerge w:val="restart"/>
            <w:tcBorders>
              <w:top w:val="nil"/>
              <w:left w:val="nil"/>
              <w:bottom w:val="nil"/>
              <w:right w:val="nil"/>
            </w:tcBorders>
            <w:shd w:val="clear" w:color="auto" w:fill="auto"/>
            <w:noWrap/>
            <w:vAlign w:val="center"/>
            <w:hideMark/>
          </w:tcPr>
          <w:p w:rsidR="00B05451" w:rsidRPr="00524A1A" w:rsidRDefault="00B05451" w:rsidP="00B05451">
            <w:pPr>
              <w:spacing w:after="0" w:line="240" w:lineRule="auto"/>
              <w:rPr>
                <w:rFonts w:ascii="Gill Sans MT" w:eastAsia="Times New Roman" w:hAnsi="Gill Sans MT" w:cs="Times New Roman"/>
                <w:i/>
                <w:iCs/>
                <w:color w:val="000000"/>
                <w:lang w:eastAsia="en-GB"/>
              </w:rPr>
            </w:pPr>
            <w:r w:rsidRPr="00524A1A">
              <w:rPr>
                <w:rFonts w:ascii="Gill Sans MT" w:eastAsia="Times New Roman" w:hAnsi="Gill Sans MT" w:cs="Times New Roman"/>
                <w:i/>
                <w:iCs/>
                <w:color w:val="000000"/>
                <w:lang w:eastAsia="en-GB"/>
              </w:rPr>
              <w:t>ln(X</w:t>
            </w:r>
            <w:r w:rsidRPr="00524A1A">
              <w:rPr>
                <w:rFonts w:ascii="Gill Sans MT" w:eastAsia="Times New Roman" w:hAnsi="Gill Sans MT" w:cs="Times New Roman"/>
                <w:i/>
                <w:iCs/>
                <w:color w:val="000000"/>
                <w:vertAlign w:val="subscript"/>
                <w:lang w:eastAsia="en-GB"/>
              </w:rPr>
              <w:t>ijt</w:t>
            </w:r>
            <w:r w:rsidRPr="00524A1A">
              <w:rPr>
                <w:rFonts w:ascii="Gill Sans MT" w:eastAsia="Times New Roman" w:hAnsi="Gill Sans MT" w:cs="Times New Roman"/>
                <w:i/>
                <w:iCs/>
                <w:color w:val="000000"/>
                <w:lang w:eastAsia="en-GB"/>
              </w:rPr>
              <w:t>)</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0.122</w:t>
            </w:r>
          </w:p>
        </w:tc>
        <w:tc>
          <w:tcPr>
            <w:tcW w:w="1251"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0.129</w:t>
            </w:r>
          </w:p>
        </w:tc>
      </w:tr>
      <w:tr w:rsidR="00B05451" w:rsidRPr="00524A1A" w:rsidTr="00296501">
        <w:trPr>
          <w:trHeight w:val="127"/>
        </w:trPr>
        <w:tc>
          <w:tcPr>
            <w:tcW w:w="3099" w:type="dxa"/>
            <w:gridSpan w:val="2"/>
            <w:vMerge/>
            <w:tcBorders>
              <w:top w:val="nil"/>
              <w:left w:val="nil"/>
              <w:bottom w:val="nil"/>
              <w:right w:val="nil"/>
            </w:tcBorders>
            <w:vAlign w:val="center"/>
            <w:hideMark/>
          </w:tcPr>
          <w:p w:rsidR="00B05451" w:rsidRPr="00524A1A" w:rsidRDefault="00B05451" w:rsidP="00B05451">
            <w:pPr>
              <w:spacing w:after="0" w:line="240" w:lineRule="auto"/>
              <w:rPr>
                <w:rFonts w:ascii="Gill Sans MT" w:eastAsia="Times New Roman" w:hAnsi="Gill Sans MT" w:cs="Times New Roman"/>
                <w:i/>
                <w:iCs/>
                <w:color w:val="000000"/>
                <w:lang w:eastAsia="en-GB"/>
              </w:rPr>
            </w:pP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(0.120)</w:t>
            </w:r>
          </w:p>
        </w:tc>
        <w:tc>
          <w:tcPr>
            <w:tcW w:w="1251"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(0.120)</w:t>
            </w:r>
          </w:p>
        </w:tc>
      </w:tr>
      <w:tr w:rsidR="00B05451" w:rsidRPr="00524A1A" w:rsidTr="00296501">
        <w:trPr>
          <w:trHeight w:val="127"/>
        </w:trPr>
        <w:tc>
          <w:tcPr>
            <w:tcW w:w="3099" w:type="dxa"/>
            <w:gridSpan w:val="2"/>
            <w:vMerge w:val="restart"/>
            <w:tcBorders>
              <w:top w:val="nil"/>
              <w:left w:val="nil"/>
              <w:bottom w:val="nil"/>
              <w:right w:val="nil"/>
            </w:tcBorders>
            <w:shd w:val="clear" w:color="auto" w:fill="auto"/>
            <w:noWrap/>
            <w:vAlign w:val="center"/>
            <w:hideMark/>
          </w:tcPr>
          <w:p w:rsidR="00B05451" w:rsidRPr="00524A1A" w:rsidRDefault="00B05451" w:rsidP="00B05451">
            <w:pPr>
              <w:spacing w:after="0" w:line="240" w:lineRule="auto"/>
              <w:rPr>
                <w:rFonts w:ascii="Gill Sans MT" w:eastAsia="Times New Roman" w:hAnsi="Gill Sans MT" w:cs="Times New Roman"/>
                <w:i/>
                <w:iCs/>
                <w:color w:val="000000"/>
                <w:lang w:eastAsia="en-GB"/>
              </w:rPr>
            </w:pPr>
            <w:r w:rsidRPr="00524A1A">
              <w:rPr>
                <w:rFonts w:ascii="Gill Sans MT" w:eastAsia="Times New Roman" w:hAnsi="Gill Sans MT" w:cs="Times New Roman"/>
                <w:i/>
                <w:iCs/>
                <w:color w:val="000000"/>
                <w:lang w:eastAsia="en-GB"/>
              </w:rPr>
              <w:t>ln(M</w:t>
            </w:r>
            <w:r w:rsidRPr="00524A1A">
              <w:rPr>
                <w:rFonts w:ascii="Gill Sans MT" w:eastAsia="Times New Roman" w:hAnsi="Gill Sans MT" w:cs="Times New Roman"/>
                <w:i/>
                <w:iCs/>
                <w:color w:val="000000"/>
                <w:vertAlign w:val="subscript"/>
                <w:lang w:eastAsia="en-GB"/>
              </w:rPr>
              <w:t>ijt</w:t>
            </w:r>
            <w:r w:rsidRPr="00524A1A">
              <w:rPr>
                <w:rFonts w:ascii="Gill Sans MT" w:eastAsia="Times New Roman" w:hAnsi="Gill Sans MT" w:cs="Times New Roman"/>
                <w:i/>
                <w:iCs/>
                <w:color w:val="000000"/>
                <w:lang w:eastAsia="en-GB"/>
              </w:rPr>
              <w:t>)</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0.235</w:t>
            </w:r>
          </w:p>
        </w:tc>
        <w:tc>
          <w:tcPr>
            <w:tcW w:w="1251"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0.230</w:t>
            </w:r>
          </w:p>
        </w:tc>
      </w:tr>
      <w:tr w:rsidR="00B05451" w:rsidRPr="00524A1A" w:rsidTr="00296501">
        <w:trPr>
          <w:trHeight w:val="127"/>
        </w:trPr>
        <w:tc>
          <w:tcPr>
            <w:tcW w:w="3099" w:type="dxa"/>
            <w:gridSpan w:val="2"/>
            <w:vMerge/>
            <w:tcBorders>
              <w:top w:val="nil"/>
              <w:left w:val="nil"/>
              <w:bottom w:val="nil"/>
              <w:right w:val="nil"/>
            </w:tcBorders>
            <w:vAlign w:val="center"/>
            <w:hideMark/>
          </w:tcPr>
          <w:p w:rsidR="00B05451" w:rsidRPr="00524A1A" w:rsidRDefault="00B05451" w:rsidP="00B05451">
            <w:pPr>
              <w:spacing w:after="0" w:line="240" w:lineRule="auto"/>
              <w:rPr>
                <w:rFonts w:ascii="Gill Sans MT" w:eastAsia="Times New Roman" w:hAnsi="Gill Sans MT" w:cs="Times New Roman"/>
                <w:i/>
                <w:iCs/>
                <w:color w:val="000000"/>
                <w:lang w:eastAsia="en-GB"/>
              </w:rPr>
            </w:pP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(0.145)</w:t>
            </w:r>
          </w:p>
        </w:tc>
        <w:tc>
          <w:tcPr>
            <w:tcW w:w="1251"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(0.146)</w:t>
            </w:r>
          </w:p>
        </w:tc>
      </w:tr>
      <w:tr w:rsidR="00B05451" w:rsidRPr="00524A1A" w:rsidTr="00296501">
        <w:trPr>
          <w:trHeight w:val="147"/>
        </w:trPr>
        <w:tc>
          <w:tcPr>
            <w:tcW w:w="578" w:type="dxa"/>
            <w:vMerge w:val="restart"/>
            <w:tcBorders>
              <w:top w:val="nil"/>
              <w:left w:val="nil"/>
              <w:bottom w:val="single" w:sz="8" w:space="0" w:color="AA273E"/>
              <w:right w:val="nil"/>
            </w:tcBorders>
            <w:shd w:val="clear" w:color="auto" w:fill="auto"/>
            <w:textDirection w:val="btLr"/>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Polity Interactions</w:t>
            </w:r>
          </w:p>
        </w:tc>
        <w:tc>
          <w:tcPr>
            <w:tcW w:w="2521" w:type="dxa"/>
            <w:vMerge w:val="restart"/>
            <w:tcBorders>
              <w:top w:val="nil"/>
              <w:left w:val="nil"/>
              <w:bottom w:val="nil"/>
              <w:right w:val="nil"/>
            </w:tcBorders>
            <w:shd w:val="clear" w:color="auto" w:fill="auto"/>
            <w:noWrap/>
            <w:vAlign w:val="center"/>
            <w:hideMark/>
          </w:tcPr>
          <w:p w:rsidR="00B05451" w:rsidRPr="00524A1A" w:rsidRDefault="00B05451" w:rsidP="00B05451">
            <w:pPr>
              <w:spacing w:after="0" w:line="240" w:lineRule="auto"/>
              <w:rPr>
                <w:rFonts w:ascii="Gill Sans MT" w:eastAsia="Times New Roman" w:hAnsi="Gill Sans MT" w:cs="Times New Roman"/>
                <w:i/>
                <w:iCs/>
                <w:color w:val="000000"/>
                <w:lang w:eastAsia="en-GB"/>
              </w:rPr>
            </w:pPr>
            <w:r w:rsidRPr="00524A1A">
              <w:rPr>
                <w:rFonts w:ascii="Gill Sans MT" w:eastAsia="Times New Roman" w:hAnsi="Gill Sans MT" w:cs="Times New Roman"/>
                <w:i/>
                <w:iCs/>
                <w:color w:val="000000"/>
                <w:lang w:eastAsia="en-GB"/>
              </w:rPr>
              <w:t>BIT</w:t>
            </w:r>
            <w:r w:rsidRPr="00524A1A">
              <w:rPr>
                <w:rFonts w:ascii="Gill Sans MT" w:eastAsia="Times New Roman" w:hAnsi="Gill Sans MT" w:cs="Times New Roman"/>
                <w:i/>
                <w:iCs/>
                <w:color w:val="000000"/>
                <w:vertAlign w:val="subscript"/>
                <w:lang w:eastAsia="en-GB"/>
              </w:rPr>
              <w:t>ijt</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251"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0.185</w:t>
            </w:r>
          </w:p>
        </w:tc>
      </w:tr>
      <w:tr w:rsidR="00B05451" w:rsidRPr="00524A1A" w:rsidTr="00296501">
        <w:trPr>
          <w:trHeight w:val="127"/>
        </w:trPr>
        <w:tc>
          <w:tcPr>
            <w:tcW w:w="578" w:type="dxa"/>
            <w:vMerge/>
            <w:tcBorders>
              <w:top w:val="nil"/>
              <w:left w:val="nil"/>
              <w:bottom w:val="single" w:sz="8" w:space="0" w:color="AA273E"/>
              <w:right w:val="nil"/>
            </w:tcBorders>
            <w:vAlign w:val="center"/>
            <w:hideMark/>
          </w:tcPr>
          <w:p w:rsidR="00B05451" w:rsidRPr="00524A1A" w:rsidRDefault="00B05451" w:rsidP="00B05451">
            <w:pPr>
              <w:spacing w:after="0" w:line="240" w:lineRule="auto"/>
              <w:rPr>
                <w:rFonts w:ascii="Gill Sans MT" w:eastAsia="Times New Roman" w:hAnsi="Gill Sans MT" w:cs="Times New Roman"/>
                <w:color w:val="000000"/>
                <w:lang w:eastAsia="en-GB"/>
              </w:rPr>
            </w:pPr>
          </w:p>
        </w:tc>
        <w:tc>
          <w:tcPr>
            <w:tcW w:w="2521" w:type="dxa"/>
            <w:vMerge/>
            <w:tcBorders>
              <w:top w:val="nil"/>
              <w:left w:val="nil"/>
              <w:bottom w:val="nil"/>
              <w:right w:val="nil"/>
            </w:tcBorders>
            <w:vAlign w:val="center"/>
            <w:hideMark/>
          </w:tcPr>
          <w:p w:rsidR="00B05451" w:rsidRPr="00524A1A" w:rsidRDefault="00B05451" w:rsidP="00B05451">
            <w:pPr>
              <w:spacing w:after="0" w:line="240" w:lineRule="auto"/>
              <w:rPr>
                <w:rFonts w:ascii="Gill Sans MT" w:eastAsia="Times New Roman" w:hAnsi="Gill Sans MT" w:cs="Times New Roman"/>
                <w:i/>
                <w:iCs/>
                <w:color w:val="000000"/>
                <w:lang w:eastAsia="en-GB"/>
              </w:rPr>
            </w:pP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251"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(0.134)</w:t>
            </w:r>
          </w:p>
        </w:tc>
      </w:tr>
      <w:tr w:rsidR="00B05451" w:rsidRPr="00524A1A" w:rsidTr="00296501">
        <w:trPr>
          <w:trHeight w:val="147"/>
        </w:trPr>
        <w:tc>
          <w:tcPr>
            <w:tcW w:w="578" w:type="dxa"/>
            <w:vMerge/>
            <w:tcBorders>
              <w:top w:val="nil"/>
              <w:left w:val="nil"/>
              <w:bottom w:val="single" w:sz="8" w:space="0" w:color="AA273E"/>
              <w:right w:val="nil"/>
            </w:tcBorders>
            <w:vAlign w:val="center"/>
            <w:hideMark/>
          </w:tcPr>
          <w:p w:rsidR="00B05451" w:rsidRPr="00524A1A" w:rsidRDefault="00B05451" w:rsidP="00B05451">
            <w:pPr>
              <w:spacing w:after="0" w:line="240" w:lineRule="auto"/>
              <w:rPr>
                <w:rFonts w:ascii="Gill Sans MT" w:eastAsia="Times New Roman" w:hAnsi="Gill Sans MT" w:cs="Times New Roman"/>
                <w:color w:val="000000"/>
                <w:lang w:eastAsia="en-GB"/>
              </w:rPr>
            </w:pPr>
          </w:p>
        </w:tc>
        <w:tc>
          <w:tcPr>
            <w:tcW w:w="2521" w:type="dxa"/>
            <w:vMerge w:val="restart"/>
            <w:tcBorders>
              <w:top w:val="nil"/>
              <w:left w:val="nil"/>
              <w:bottom w:val="nil"/>
              <w:right w:val="nil"/>
            </w:tcBorders>
            <w:shd w:val="clear" w:color="auto" w:fill="auto"/>
            <w:noWrap/>
            <w:vAlign w:val="center"/>
            <w:hideMark/>
          </w:tcPr>
          <w:p w:rsidR="00B05451" w:rsidRPr="00524A1A" w:rsidRDefault="00B05451" w:rsidP="00B05451">
            <w:pPr>
              <w:spacing w:after="0" w:line="240" w:lineRule="auto"/>
              <w:rPr>
                <w:rFonts w:ascii="Gill Sans MT" w:eastAsia="Times New Roman" w:hAnsi="Gill Sans MT" w:cs="Times New Roman"/>
                <w:i/>
                <w:iCs/>
                <w:color w:val="000000"/>
                <w:lang w:eastAsia="en-GB"/>
              </w:rPr>
            </w:pPr>
            <w:r w:rsidRPr="00524A1A">
              <w:rPr>
                <w:rFonts w:ascii="Gill Sans MT" w:eastAsia="Times New Roman" w:hAnsi="Gill Sans MT" w:cs="Times New Roman"/>
                <w:i/>
                <w:iCs/>
                <w:color w:val="000000"/>
                <w:lang w:eastAsia="en-GB"/>
              </w:rPr>
              <w:t>ISDS_Pre</w:t>
            </w:r>
            <w:r w:rsidRPr="00524A1A">
              <w:rPr>
                <w:rFonts w:ascii="Gill Sans MT" w:eastAsia="Times New Roman" w:hAnsi="Gill Sans MT" w:cs="Times New Roman"/>
                <w:i/>
                <w:iCs/>
                <w:color w:val="000000"/>
                <w:vertAlign w:val="subscript"/>
                <w:lang w:eastAsia="en-GB"/>
              </w:rPr>
              <w:t>ijt</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251"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-0.412***</w:t>
            </w:r>
          </w:p>
        </w:tc>
      </w:tr>
      <w:tr w:rsidR="00B05451" w:rsidRPr="00524A1A" w:rsidTr="00296501">
        <w:trPr>
          <w:trHeight w:val="127"/>
        </w:trPr>
        <w:tc>
          <w:tcPr>
            <w:tcW w:w="578" w:type="dxa"/>
            <w:vMerge/>
            <w:tcBorders>
              <w:top w:val="nil"/>
              <w:left w:val="nil"/>
              <w:bottom w:val="single" w:sz="8" w:space="0" w:color="AA273E"/>
              <w:right w:val="nil"/>
            </w:tcBorders>
            <w:vAlign w:val="center"/>
            <w:hideMark/>
          </w:tcPr>
          <w:p w:rsidR="00B05451" w:rsidRPr="00524A1A" w:rsidRDefault="00B05451" w:rsidP="00B05451">
            <w:pPr>
              <w:spacing w:after="0" w:line="240" w:lineRule="auto"/>
              <w:rPr>
                <w:rFonts w:ascii="Gill Sans MT" w:eastAsia="Times New Roman" w:hAnsi="Gill Sans MT" w:cs="Times New Roman"/>
                <w:color w:val="000000"/>
                <w:lang w:eastAsia="en-GB"/>
              </w:rPr>
            </w:pPr>
          </w:p>
        </w:tc>
        <w:tc>
          <w:tcPr>
            <w:tcW w:w="2521" w:type="dxa"/>
            <w:vMerge/>
            <w:tcBorders>
              <w:top w:val="nil"/>
              <w:left w:val="nil"/>
              <w:bottom w:val="nil"/>
              <w:right w:val="nil"/>
            </w:tcBorders>
            <w:vAlign w:val="center"/>
            <w:hideMark/>
          </w:tcPr>
          <w:p w:rsidR="00B05451" w:rsidRPr="00524A1A" w:rsidRDefault="00B05451" w:rsidP="00B05451">
            <w:pPr>
              <w:spacing w:after="0" w:line="240" w:lineRule="auto"/>
              <w:rPr>
                <w:rFonts w:ascii="Gill Sans MT" w:eastAsia="Times New Roman" w:hAnsi="Gill Sans MT" w:cs="Times New Roman"/>
                <w:i/>
                <w:iCs/>
                <w:color w:val="000000"/>
                <w:lang w:eastAsia="en-GB"/>
              </w:rPr>
            </w:pP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251"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(0.137)</w:t>
            </w:r>
          </w:p>
        </w:tc>
      </w:tr>
      <w:tr w:rsidR="00B05451" w:rsidRPr="00524A1A" w:rsidTr="00296501">
        <w:trPr>
          <w:trHeight w:val="147"/>
        </w:trPr>
        <w:tc>
          <w:tcPr>
            <w:tcW w:w="578" w:type="dxa"/>
            <w:vMerge/>
            <w:tcBorders>
              <w:top w:val="nil"/>
              <w:left w:val="nil"/>
              <w:bottom w:val="single" w:sz="8" w:space="0" w:color="AA273E"/>
              <w:right w:val="nil"/>
            </w:tcBorders>
            <w:vAlign w:val="center"/>
            <w:hideMark/>
          </w:tcPr>
          <w:p w:rsidR="00B05451" w:rsidRPr="00524A1A" w:rsidRDefault="00B05451" w:rsidP="00B05451">
            <w:pPr>
              <w:spacing w:after="0" w:line="240" w:lineRule="auto"/>
              <w:rPr>
                <w:rFonts w:ascii="Gill Sans MT" w:eastAsia="Times New Roman" w:hAnsi="Gill Sans MT" w:cs="Times New Roman"/>
                <w:color w:val="000000"/>
                <w:lang w:eastAsia="en-GB"/>
              </w:rPr>
            </w:pPr>
          </w:p>
        </w:tc>
        <w:tc>
          <w:tcPr>
            <w:tcW w:w="2521" w:type="dxa"/>
            <w:vMerge w:val="restart"/>
            <w:tcBorders>
              <w:top w:val="nil"/>
              <w:left w:val="nil"/>
              <w:bottom w:val="nil"/>
              <w:right w:val="nil"/>
            </w:tcBorders>
            <w:shd w:val="clear" w:color="auto" w:fill="auto"/>
            <w:noWrap/>
            <w:vAlign w:val="center"/>
            <w:hideMark/>
          </w:tcPr>
          <w:p w:rsidR="00B05451" w:rsidRPr="00524A1A" w:rsidRDefault="00B05451" w:rsidP="00B05451">
            <w:pPr>
              <w:spacing w:after="0" w:line="240" w:lineRule="auto"/>
              <w:rPr>
                <w:rFonts w:ascii="Gill Sans MT" w:eastAsia="Times New Roman" w:hAnsi="Gill Sans MT" w:cs="Times New Roman"/>
                <w:i/>
                <w:iCs/>
                <w:color w:val="000000"/>
                <w:lang w:eastAsia="en-GB"/>
              </w:rPr>
            </w:pPr>
            <w:r w:rsidRPr="00524A1A">
              <w:rPr>
                <w:rFonts w:ascii="Gill Sans MT" w:eastAsia="Times New Roman" w:hAnsi="Gill Sans MT" w:cs="Times New Roman"/>
                <w:i/>
                <w:iCs/>
                <w:color w:val="000000"/>
                <w:lang w:eastAsia="en-GB"/>
              </w:rPr>
              <w:t>ISDS_Unre</w:t>
            </w:r>
            <w:r w:rsidRPr="00524A1A">
              <w:rPr>
                <w:rFonts w:ascii="Gill Sans MT" w:eastAsia="Times New Roman" w:hAnsi="Gill Sans MT" w:cs="Times New Roman"/>
                <w:i/>
                <w:iCs/>
                <w:color w:val="000000"/>
                <w:vertAlign w:val="subscript"/>
                <w:lang w:eastAsia="en-GB"/>
              </w:rPr>
              <w:t>ijt</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251"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0.264</w:t>
            </w:r>
          </w:p>
        </w:tc>
      </w:tr>
      <w:tr w:rsidR="00B05451" w:rsidRPr="00524A1A" w:rsidTr="00296501">
        <w:trPr>
          <w:trHeight w:val="127"/>
        </w:trPr>
        <w:tc>
          <w:tcPr>
            <w:tcW w:w="578" w:type="dxa"/>
            <w:vMerge/>
            <w:tcBorders>
              <w:top w:val="nil"/>
              <w:left w:val="nil"/>
              <w:bottom w:val="single" w:sz="8" w:space="0" w:color="AA273E"/>
              <w:right w:val="nil"/>
            </w:tcBorders>
            <w:vAlign w:val="center"/>
            <w:hideMark/>
          </w:tcPr>
          <w:p w:rsidR="00B05451" w:rsidRPr="00524A1A" w:rsidRDefault="00B05451" w:rsidP="00B05451">
            <w:pPr>
              <w:spacing w:after="0" w:line="240" w:lineRule="auto"/>
              <w:rPr>
                <w:rFonts w:ascii="Gill Sans MT" w:eastAsia="Times New Roman" w:hAnsi="Gill Sans MT" w:cs="Times New Roman"/>
                <w:color w:val="000000"/>
                <w:lang w:eastAsia="en-GB"/>
              </w:rPr>
            </w:pPr>
          </w:p>
        </w:tc>
        <w:tc>
          <w:tcPr>
            <w:tcW w:w="2521" w:type="dxa"/>
            <w:vMerge/>
            <w:tcBorders>
              <w:top w:val="nil"/>
              <w:left w:val="nil"/>
              <w:bottom w:val="nil"/>
              <w:right w:val="nil"/>
            </w:tcBorders>
            <w:vAlign w:val="center"/>
            <w:hideMark/>
          </w:tcPr>
          <w:p w:rsidR="00B05451" w:rsidRPr="00524A1A" w:rsidRDefault="00B05451" w:rsidP="00B05451">
            <w:pPr>
              <w:spacing w:after="0" w:line="240" w:lineRule="auto"/>
              <w:rPr>
                <w:rFonts w:ascii="Gill Sans MT" w:eastAsia="Times New Roman" w:hAnsi="Gill Sans MT" w:cs="Times New Roman"/>
                <w:i/>
                <w:iCs/>
                <w:color w:val="000000"/>
                <w:lang w:eastAsia="en-GB"/>
              </w:rPr>
            </w:pP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251"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(0.187)</w:t>
            </w:r>
          </w:p>
        </w:tc>
      </w:tr>
      <w:tr w:rsidR="00B05451" w:rsidRPr="00524A1A" w:rsidTr="00296501">
        <w:trPr>
          <w:trHeight w:val="147"/>
        </w:trPr>
        <w:tc>
          <w:tcPr>
            <w:tcW w:w="578" w:type="dxa"/>
            <w:vMerge/>
            <w:tcBorders>
              <w:top w:val="nil"/>
              <w:left w:val="nil"/>
              <w:bottom w:val="single" w:sz="8" w:space="0" w:color="AA273E"/>
              <w:right w:val="nil"/>
            </w:tcBorders>
            <w:vAlign w:val="center"/>
            <w:hideMark/>
          </w:tcPr>
          <w:p w:rsidR="00B05451" w:rsidRPr="00524A1A" w:rsidRDefault="00B05451" w:rsidP="00B05451">
            <w:pPr>
              <w:spacing w:after="0" w:line="240" w:lineRule="auto"/>
              <w:rPr>
                <w:rFonts w:ascii="Gill Sans MT" w:eastAsia="Times New Roman" w:hAnsi="Gill Sans MT" w:cs="Times New Roman"/>
                <w:color w:val="000000"/>
                <w:lang w:eastAsia="en-GB"/>
              </w:rPr>
            </w:pPr>
          </w:p>
        </w:tc>
        <w:tc>
          <w:tcPr>
            <w:tcW w:w="2521" w:type="dxa"/>
            <w:vMerge w:val="restart"/>
            <w:tcBorders>
              <w:top w:val="nil"/>
              <w:left w:val="nil"/>
              <w:bottom w:val="nil"/>
              <w:right w:val="nil"/>
            </w:tcBorders>
            <w:shd w:val="clear" w:color="auto" w:fill="auto"/>
            <w:noWrap/>
            <w:vAlign w:val="center"/>
            <w:hideMark/>
          </w:tcPr>
          <w:p w:rsidR="00B05451" w:rsidRPr="00524A1A" w:rsidRDefault="00B05451" w:rsidP="00B05451">
            <w:pPr>
              <w:spacing w:after="0" w:line="240" w:lineRule="auto"/>
              <w:rPr>
                <w:rFonts w:ascii="Gill Sans MT" w:eastAsia="Times New Roman" w:hAnsi="Gill Sans MT" w:cs="Times New Roman"/>
                <w:i/>
                <w:iCs/>
                <w:color w:val="000000"/>
                <w:lang w:eastAsia="en-GB"/>
              </w:rPr>
            </w:pPr>
            <w:r w:rsidRPr="00524A1A">
              <w:rPr>
                <w:rFonts w:ascii="Gill Sans MT" w:eastAsia="Times New Roman" w:hAnsi="Gill Sans MT" w:cs="Times New Roman"/>
                <w:i/>
                <w:iCs/>
                <w:color w:val="000000"/>
                <w:lang w:eastAsia="en-GB"/>
              </w:rPr>
              <w:t>ISDS_Bin</w:t>
            </w:r>
            <w:r w:rsidRPr="00524A1A">
              <w:rPr>
                <w:rFonts w:ascii="Gill Sans MT" w:eastAsia="Times New Roman" w:hAnsi="Gill Sans MT" w:cs="Times New Roman"/>
                <w:i/>
                <w:iCs/>
                <w:color w:val="000000"/>
                <w:vertAlign w:val="subscript"/>
                <w:lang w:eastAsia="en-GB"/>
              </w:rPr>
              <w:t>ijt</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251"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0.843***</w:t>
            </w:r>
          </w:p>
        </w:tc>
      </w:tr>
      <w:tr w:rsidR="00B05451" w:rsidRPr="00524A1A" w:rsidTr="00296501">
        <w:trPr>
          <w:trHeight w:val="127"/>
        </w:trPr>
        <w:tc>
          <w:tcPr>
            <w:tcW w:w="578" w:type="dxa"/>
            <w:vMerge/>
            <w:tcBorders>
              <w:top w:val="nil"/>
              <w:left w:val="nil"/>
              <w:bottom w:val="single" w:sz="8" w:space="0" w:color="AA273E"/>
              <w:right w:val="nil"/>
            </w:tcBorders>
            <w:vAlign w:val="center"/>
            <w:hideMark/>
          </w:tcPr>
          <w:p w:rsidR="00B05451" w:rsidRPr="00524A1A" w:rsidRDefault="00B05451" w:rsidP="00B05451">
            <w:pPr>
              <w:spacing w:after="0" w:line="240" w:lineRule="auto"/>
              <w:rPr>
                <w:rFonts w:ascii="Gill Sans MT" w:eastAsia="Times New Roman" w:hAnsi="Gill Sans MT" w:cs="Times New Roman"/>
                <w:color w:val="000000"/>
                <w:lang w:eastAsia="en-GB"/>
              </w:rPr>
            </w:pPr>
          </w:p>
        </w:tc>
        <w:tc>
          <w:tcPr>
            <w:tcW w:w="2521" w:type="dxa"/>
            <w:vMerge/>
            <w:tcBorders>
              <w:top w:val="nil"/>
              <w:left w:val="nil"/>
              <w:bottom w:val="nil"/>
              <w:right w:val="nil"/>
            </w:tcBorders>
            <w:vAlign w:val="center"/>
            <w:hideMark/>
          </w:tcPr>
          <w:p w:rsidR="00B05451" w:rsidRPr="00524A1A" w:rsidRDefault="00B05451" w:rsidP="00B05451">
            <w:pPr>
              <w:spacing w:after="0" w:line="240" w:lineRule="auto"/>
              <w:rPr>
                <w:rFonts w:ascii="Gill Sans MT" w:eastAsia="Times New Roman" w:hAnsi="Gill Sans MT" w:cs="Times New Roman"/>
                <w:i/>
                <w:iCs/>
                <w:color w:val="000000"/>
                <w:lang w:eastAsia="en-GB"/>
              </w:rPr>
            </w:pP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251"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(0.171)</w:t>
            </w:r>
          </w:p>
        </w:tc>
      </w:tr>
      <w:tr w:rsidR="00B05451" w:rsidRPr="00524A1A" w:rsidTr="00296501">
        <w:trPr>
          <w:trHeight w:val="147"/>
        </w:trPr>
        <w:tc>
          <w:tcPr>
            <w:tcW w:w="578" w:type="dxa"/>
            <w:vMerge/>
            <w:tcBorders>
              <w:top w:val="nil"/>
              <w:left w:val="nil"/>
              <w:bottom w:val="single" w:sz="8" w:space="0" w:color="AA273E"/>
              <w:right w:val="nil"/>
            </w:tcBorders>
            <w:vAlign w:val="center"/>
            <w:hideMark/>
          </w:tcPr>
          <w:p w:rsidR="00B05451" w:rsidRPr="00524A1A" w:rsidRDefault="00B05451" w:rsidP="00B05451">
            <w:pPr>
              <w:spacing w:after="0" w:line="240" w:lineRule="auto"/>
              <w:rPr>
                <w:rFonts w:ascii="Gill Sans MT" w:eastAsia="Times New Roman" w:hAnsi="Gill Sans MT" w:cs="Times New Roman"/>
                <w:color w:val="000000"/>
                <w:lang w:eastAsia="en-GB"/>
              </w:rPr>
            </w:pPr>
          </w:p>
        </w:tc>
        <w:tc>
          <w:tcPr>
            <w:tcW w:w="2521" w:type="dxa"/>
            <w:vMerge w:val="restart"/>
            <w:tcBorders>
              <w:top w:val="nil"/>
              <w:left w:val="nil"/>
              <w:bottom w:val="single" w:sz="8" w:space="0" w:color="AA273E"/>
              <w:right w:val="nil"/>
            </w:tcBorders>
            <w:shd w:val="clear" w:color="auto" w:fill="auto"/>
            <w:noWrap/>
            <w:vAlign w:val="center"/>
            <w:hideMark/>
          </w:tcPr>
          <w:p w:rsidR="00B05451" w:rsidRPr="00524A1A" w:rsidRDefault="00B05451" w:rsidP="00B05451">
            <w:pPr>
              <w:spacing w:after="0" w:line="240" w:lineRule="auto"/>
              <w:rPr>
                <w:rFonts w:ascii="Gill Sans MT" w:eastAsia="Times New Roman" w:hAnsi="Gill Sans MT" w:cs="Times New Roman"/>
                <w:i/>
                <w:iCs/>
                <w:color w:val="000000"/>
                <w:lang w:eastAsia="en-GB"/>
              </w:rPr>
            </w:pPr>
            <w:r w:rsidRPr="00524A1A">
              <w:rPr>
                <w:rFonts w:ascii="Gill Sans MT" w:eastAsia="Times New Roman" w:hAnsi="Gill Sans MT" w:cs="Times New Roman"/>
                <w:i/>
                <w:iCs/>
                <w:color w:val="000000"/>
                <w:lang w:eastAsia="en-GB"/>
              </w:rPr>
              <w:t>ISDS_Bin</w:t>
            </w:r>
            <w:r w:rsidRPr="00524A1A">
              <w:rPr>
                <w:rFonts w:ascii="Gill Sans MT" w:eastAsia="Times New Roman" w:hAnsi="Gill Sans MT" w:cs="Times New Roman"/>
                <w:i/>
                <w:iCs/>
                <w:color w:val="000000"/>
                <w:vertAlign w:val="subscript"/>
                <w:lang w:eastAsia="en-GB"/>
              </w:rPr>
              <w:t>ijt</w:t>
            </w:r>
            <w:r w:rsidRPr="00524A1A">
              <w:rPr>
                <w:rFonts w:ascii="Gill Sans MT" w:eastAsia="Times New Roman" w:hAnsi="Gill Sans MT" w:cs="Times New Roman"/>
                <w:i/>
                <w:iCs/>
                <w:color w:val="000000"/>
                <w:lang w:eastAsia="en-GB"/>
              </w:rPr>
              <w:t xml:space="preserve"> * ISDS_Unre</w:t>
            </w:r>
            <w:r w:rsidRPr="00524A1A">
              <w:rPr>
                <w:rFonts w:ascii="Gill Sans MT" w:eastAsia="Times New Roman" w:hAnsi="Gill Sans MT" w:cs="Times New Roman"/>
                <w:i/>
                <w:iCs/>
                <w:color w:val="000000"/>
                <w:vertAlign w:val="subscript"/>
                <w:lang w:eastAsia="en-GB"/>
              </w:rPr>
              <w:t>ijt</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251"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-0.368</w:t>
            </w:r>
          </w:p>
        </w:tc>
      </w:tr>
      <w:tr w:rsidR="00B05451" w:rsidRPr="00524A1A" w:rsidTr="00296501">
        <w:trPr>
          <w:trHeight w:val="134"/>
        </w:trPr>
        <w:tc>
          <w:tcPr>
            <w:tcW w:w="578" w:type="dxa"/>
            <w:vMerge/>
            <w:tcBorders>
              <w:top w:val="nil"/>
              <w:left w:val="nil"/>
              <w:bottom w:val="single" w:sz="8" w:space="0" w:color="AA273E"/>
              <w:right w:val="nil"/>
            </w:tcBorders>
            <w:vAlign w:val="center"/>
            <w:hideMark/>
          </w:tcPr>
          <w:p w:rsidR="00B05451" w:rsidRPr="00524A1A" w:rsidRDefault="00B05451" w:rsidP="00B05451">
            <w:pPr>
              <w:spacing w:after="0" w:line="240" w:lineRule="auto"/>
              <w:rPr>
                <w:rFonts w:ascii="Gill Sans MT" w:eastAsia="Times New Roman" w:hAnsi="Gill Sans MT" w:cs="Times New Roman"/>
                <w:color w:val="000000"/>
                <w:lang w:eastAsia="en-GB"/>
              </w:rPr>
            </w:pPr>
          </w:p>
        </w:tc>
        <w:tc>
          <w:tcPr>
            <w:tcW w:w="2521" w:type="dxa"/>
            <w:vMerge/>
            <w:tcBorders>
              <w:top w:val="nil"/>
              <w:left w:val="nil"/>
              <w:bottom w:val="single" w:sz="8" w:space="0" w:color="AA273E"/>
              <w:right w:val="nil"/>
            </w:tcBorders>
            <w:vAlign w:val="center"/>
            <w:hideMark/>
          </w:tcPr>
          <w:p w:rsidR="00B05451" w:rsidRPr="00524A1A" w:rsidRDefault="00B05451" w:rsidP="00B05451">
            <w:pPr>
              <w:spacing w:after="0" w:line="240" w:lineRule="auto"/>
              <w:rPr>
                <w:rFonts w:ascii="Gill Sans MT" w:eastAsia="Times New Roman" w:hAnsi="Gill Sans MT" w:cs="Times New Roman"/>
                <w:i/>
                <w:iCs/>
                <w:color w:val="000000"/>
                <w:lang w:eastAsia="en-GB"/>
              </w:rPr>
            </w:pPr>
          </w:p>
        </w:tc>
        <w:tc>
          <w:tcPr>
            <w:tcW w:w="1245" w:type="dxa"/>
            <w:tcBorders>
              <w:top w:val="nil"/>
              <w:left w:val="nil"/>
              <w:bottom w:val="single" w:sz="8" w:space="0" w:color="AA273E"/>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378" w:type="dxa"/>
            <w:tcBorders>
              <w:top w:val="nil"/>
              <w:left w:val="nil"/>
              <w:bottom w:val="single" w:sz="8" w:space="0" w:color="AA273E"/>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378" w:type="dxa"/>
            <w:tcBorders>
              <w:top w:val="nil"/>
              <w:left w:val="nil"/>
              <w:bottom w:val="single" w:sz="8" w:space="0" w:color="AA273E"/>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245" w:type="dxa"/>
            <w:tcBorders>
              <w:top w:val="nil"/>
              <w:left w:val="nil"/>
              <w:bottom w:val="single" w:sz="8" w:space="0" w:color="AA273E"/>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p>
        </w:tc>
        <w:tc>
          <w:tcPr>
            <w:tcW w:w="1251" w:type="dxa"/>
            <w:tcBorders>
              <w:top w:val="nil"/>
              <w:left w:val="nil"/>
              <w:bottom w:val="single" w:sz="8" w:space="0" w:color="AA273E"/>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(0.262)</w:t>
            </w:r>
          </w:p>
        </w:tc>
      </w:tr>
      <w:tr w:rsidR="00B05451" w:rsidRPr="00524A1A" w:rsidTr="00296501">
        <w:trPr>
          <w:trHeight w:val="147"/>
        </w:trPr>
        <w:tc>
          <w:tcPr>
            <w:tcW w:w="3099" w:type="dxa"/>
            <w:gridSpan w:val="2"/>
            <w:vMerge w:val="restart"/>
            <w:tcBorders>
              <w:top w:val="single" w:sz="8" w:space="0" w:color="AA273E"/>
              <w:left w:val="nil"/>
              <w:bottom w:val="nil"/>
              <w:right w:val="nil"/>
            </w:tcBorders>
            <w:shd w:val="clear" w:color="auto" w:fill="auto"/>
            <w:noWrap/>
            <w:vAlign w:val="center"/>
            <w:hideMark/>
          </w:tcPr>
          <w:p w:rsidR="00B05451" w:rsidRPr="0014570A" w:rsidRDefault="00AC7126" w:rsidP="00B05451">
            <w:pPr>
              <w:spacing w:after="0" w:line="240" w:lineRule="auto"/>
              <w:rPr>
                <w:rFonts w:ascii="Gill Sans MT" w:eastAsia="Times New Roman" w:hAnsi="Gill Sans MT" w:cs="Times New Roman"/>
                <w:color w:val="000000"/>
                <w:lang w:eastAsia="en-GB"/>
              </w:rPr>
            </w:pPr>
            <m:oMath>
              <m:sSub>
                <m:sSubPr>
                  <m:ctrlPr>
                    <w:rPr>
                      <w:rFonts w:ascii="Cambria Math" w:hAnsi="Cambria Math" w:cs="Courier New"/>
                      <w:i/>
                    </w:rPr>
                  </m:ctrlPr>
                </m:sSubPr>
                <m:e>
                  <m:acc>
                    <m:accPr>
                      <m:ctrlPr>
                        <w:rPr>
                          <w:rFonts w:ascii="Cambria Math" w:hAnsi="Cambria Math" w:cs="Courier New"/>
                          <w:i/>
                        </w:rPr>
                      </m:ctrlPr>
                    </m:accPr>
                    <m:e>
                      <m:r>
                        <w:rPr>
                          <w:rFonts w:ascii="Cambria Math" w:hAnsi="Cambria Math" w:cs="Courier New"/>
                        </w:rPr>
                        <m:t>B</m:t>
                      </m:r>
                    </m:e>
                  </m:acc>
                </m:e>
                <m:sub>
                  <m:r>
                    <w:rPr>
                      <w:rFonts w:ascii="Cambria Math" w:hAnsi="Cambria Math" w:cs="Courier New"/>
                    </w:rPr>
                    <m:t>weak</m:t>
                  </m:r>
                </m:sub>
              </m:sSub>
            </m:oMath>
            <w:r w:rsidR="00B05451">
              <w:rPr>
                <w:rFonts w:ascii="Gill Sans MT" w:eastAsia="Times New Roman" w:hAnsi="Gill Sans MT" w:cs="Times New Roman"/>
              </w:rPr>
              <w:t xml:space="preserve"> </w:t>
            </w:r>
          </w:p>
        </w:tc>
        <w:tc>
          <w:tcPr>
            <w:tcW w:w="1245" w:type="dxa"/>
            <w:tcBorders>
              <w:top w:val="single" w:sz="8" w:space="0" w:color="AA273E"/>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0.277</w:t>
            </w:r>
          </w:p>
        </w:tc>
        <w:tc>
          <w:tcPr>
            <w:tcW w:w="1378" w:type="dxa"/>
            <w:tcBorders>
              <w:top w:val="single" w:sz="8" w:space="0" w:color="AA273E"/>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0.459*</w:t>
            </w:r>
          </w:p>
        </w:tc>
        <w:tc>
          <w:tcPr>
            <w:tcW w:w="1378" w:type="dxa"/>
            <w:tcBorders>
              <w:top w:val="single" w:sz="8" w:space="0" w:color="AA273E"/>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0.479*</w:t>
            </w:r>
          </w:p>
        </w:tc>
        <w:tc>
          <w:tcPr>
            <w:tcW w:w="1245" w:type="dxa"/>
            <w:tcBorders>
              <w:top w:val="single" w:sz="8" w:space="0" w:color="AA273E"/>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0.509**</w:t>
            </w:r>
          </w:p>
        </w:tc>
        <w:tc>
          <w:tcPr>
            <w:tcW w:w="1251" w:type="dxa"/>
            <w:tcBorders>
              <w:top w:val="single" w:sz="8" w:space="0" w:color="AA273E"/>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w:t>
            </w:r>
          </w:p>
        </w:tc>
      </w:tr>
      <w:tr w:rsidR="00B05451" w:rsidRPr="00524A1A" w:rsidTr="00296501">
        <w:trPr>
          <w:trHeight w:val="147"/>
        </w:trPr>
        <w:tc>
          <w:tcPr>
            <w:tcW w:w="3099" w:type="dxa"/>
            <w:gridSpan w:val="2"/>
            <w:vMerge/>
            <w:tcBorders>
              <w:top w:val="single" w:sz="8" w:space="0" w:color="AA273E"/>
              <w:left w:val="nil"/>
              <w:bottom w:val="nil"/>
              <w:right w:val="nil"/>
            </w:tcBorders>
            <w:vAlign w:val="center"/>
            <w:hideMark/>
          </w:tcPr>
          <w:p w:rsidR="00B05451" w:rsidRPr="00524A1A" w:rsidRDefault="00B05451" w:rsidP="00B05451">
            <w:pPr>
              <w:spacing w:after="0" w:line="240" w:lineRule="auto"/>
              <w:rPr>
                <w:rFonts w:ascii="Calibri" w:eastAsia="Times New Roman" w:hAnsi="Calibri" w:cs="Times New Roman"/>
                <w:color w:val="000000"/>
                <w:lang w:eastAsia="en-GB"/>
              </w:rPr>
            </w:pP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(0.294)</w:t>
            </w: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(0.239)</w:t>
            </w: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(0.248)</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(0.241)</w:t>
            </w:r>
          </w:p>
        </w:tc>
        <w:tc>
          <w:tcPr>
            <w:tcW w:w="1251"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w:t>
            </w:r>
          </w:p>
        </w:tc>
      </w:tr>
      <w:tr w:rsidR="00B05451" w:rsidRPr="00524A1A" w:rsidTr="00296501">
        <w:trPr>
          <w:trHeight w:val="147"/>
        </w:trPr>
        <w:tc>
          <w:tcPr>
            <w:tcW w:w="3099" w:type="dxa"/>
            <w:gridSpan w:val="2"/>
            <w:vMerge w:val="restart"/>
            <w:tcBorders>
              <w:top w:val="nil"/>
              <w:left w:val="nil"/>
              <w:bottom w:val="nil"/>
              <w:right w:val="nil"/>
            </w:tcBorders>
            <w:shd w:val="clear" w:color="auto" w:fill="auto"/>
            <w:noWrap/>
            <w:vAlign w:val="center"/>
            <w:hideMark/>
          </w:tcPr>
          <w:p w:rsidR="00B05451" w:rsidRPr="00334709" w:rsidRDefault="00AC7126" w:rsidP="00B05451">
            <w:pPr>
              <w:spacing w:after="0" w:line="240" w:lineRule="auto"/>
              <w:rPr>
                <w:rFonts w:ascii="Gill Sans MT" w:eastAsia="Times New Roman" w:hAnsi="Gill Sans MT" w:cs="Times New Roman"/>
                <w:color w:val="000000"/>
                <w:lang w:eastAsia="en-GB"/>
              </w:rPr>
            </w:pPr>
            <m:oMathPara>
              <m:oMathParaPr>
                <m:jc m:val="left"/>
              </m:oMathParaPr>
              <m:oMath>
                <m:sSub>
                  <m:sSubPr>
                    <m:ctrlPr>
                      <w:rPr>
                        <w:rFonts w:ascii="Cambria Math" w:hAnsi="Cambria Math" w:cs="Courier New"/>
                        <w:i/>
                      </w:rPr>
                    </m:ctrlPr>
                  </m:sSubPr>
                  <m:e>
                    <m:acc>
                      <m:accPr>
                        <m:ctrlPr>
                          <w:rPr>
                            <w:rFonts w:ascii="Cambria Math" w:hAnsi="Cambria Math" w:cs="Courier New"/>
                            <w:i/>
                          </w:rPr>
                        </m:ctrlPr>
                      </m:accPr>
                      <m:e>
                        <m:r>
                          <w:rPr>
                            <w:rFonts w:ascii="Cambria Math" w:hAnsi="Cambria Math" w:cs="Courier New"/>
                          </w:rPr>
                          <m:t>B</m:t>
                        </m:r>
                      </m:e>
                    </m:acc>
                  </m:e>
                  <m:sub>
                    <m:r>
                      <w:rPr>
                        <w:rFonts w:ascii="Cambria Math" w:hAnsi="Cambria Math" w:cs="Courier New"/>
                      </w:rPr>
                      <m:t>strong</m:t>
                    </m:r>
                  </m:sub>
                </m:sSub>
              </m:oMath>
            </m:oMathPara>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0.497</w:t>
            </w: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0.971***</w:t>
            </w: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1.003***</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0.785***</w:t>
            </w:r>
          </w:p>
        </w:tc>
        <w:tc>
          <w:tcPr>
            <w:tcW w:w="1251"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w:t>
            </w:r>
          </w:p>
        </w:tc>
      </w:tr>
      <w:tr w:rsidR="00B05451" w:rsidRPr="00524A1A" w:rsidTr="00296501">
        <w:trPr>
          <w:trHeight w:val="147"/>
        </w:trPr>
        <w:tc>
          <w:tcPr>
            <w:tcW w:w="3099" w:type="dxa"/>
            <w:gridSpan w:val="2"/>
            <w:vMerge/>
            <w:tcBorders>
              <w:top w:val="nil"/>
              <w:left w:val="nil"/>
              <w:bottom w:val="nil"/>
              <w:right w:val="nil"/>
            </w:tcBorders>
            <w:vAlign w:val="center"/>
            <w:hideMark/>
          </w:tcPr>
          <w:p w:rsidR="00B05451" w:rsidRPr="00524A1A" w:rsidRDefault="00B05451" w:rsidP="00B05451">
            <w:pPr>
              <w:spacing w:after="0" w:line="240" w:lineRule="auto"/>
              <w:rPr>
                <w:rFonts w:ascii="Calibri" w:eastAsia="Times New Roman" w:hAnsi="Calibri" w:cs="Times New Roman"/>
                <w:color w:val="000000"/>
                <w:lang w:eastAsia="en-GB"/>
              </w:rPr>
            </w:pP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(0.403)</w:t>
            </w: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(0.373)</w:t>
            </w: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(0.357)</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(0.299)</w:t>
            </w:r>
          </w:p>
        </w:tc>
        <w:tc>
          <w:tcPr>
            <w:tcW w:w="1251"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w:t>
            </w:r>
          </w:p>
        </w:tc>
      </w:tr>
      <w:tr w:rsidR="00B05451" w:rsidRPr="00524A1A" w:rsidTr="00296501">
        <w:trPr>
          <w:trHeight w:val="147"/>
        </w:trPr>
        <w:tc>
          <w:tcPr>
            <w:tcW w:w="3099" w:type="dxa"/>
            <w:gridSpan w:val="2"/>
            <w:tcBorders>
              <w:top w:val="nil"/>
              <w:left w:val="nil"/>
              <w:bottom w:val="nil"/>
              <w:right w:val="nil"/>
            </w:tcBorders>
            <w:shd w:val="clear" w:color="auto" w:fill="auto"/>
            <w:noWrap/>
            <w:vAlign w:val="center"/>
            <w:hideMark/>
          </w:tcPr>
          <w:p w:rsidR="00B05451" w:rsidRPr="00524A1A" w:rsidRDefault="00B05451" w:rsidP="00B05451">
            <w:pPr>
              <w:spacing w:after="0" w:line="240" w:lineRule="auto"/>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Host-source FE</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Yes</w:t>
            </w: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Yes</w:t>
            </w: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Yes</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Yes</w:t>
            </w:r>
          </w:p>
        </w:tc>
        <w:tc>
          <w:tcPr>
            <w:tcW w:w="1251"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Yes</w:t>
            </w:r>
          </w:p>
        </w:tc>
      </w:tr>
      <w:tr w:rsidR="00B05451" w:rsidRPr="00524A1A" w:rsidTr="00296501">
        <w:trPr>
          <w:trHeight w:val="147"/>
        </w:trPr>
        <w:tc>
          <w:tcPr>
            <w:tcW w:w="3099" w:type="dxa"/>
            <w:gridSpan w:val="2"/>
            <w:tcBorders>
              <w:top w:val="nil"/>
              <w:left w:val="nil"/>
              <w:bottom w:val="nil"/>
              <w:right w:val="nil"/>
            </w:tcBorders>
            <w:shd w:val="clear" w:color="auto" w:fill="auto"/>
            <w:noWrap/>
            <w:vAlign w:val="center"/>
            <w:hideMark/>
          </w:tcPr>
          <w:p w:rsidR="00B05451" w:rsidRPr="00524A1A" w:rsidRDefault="00B05451" w:rsidP="00B05451">
            <w:pPr>
              <w:spacing w:after="0" w:line="240" w:lineRule="auto"/>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Year FE</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Yes</w:t>
            </w: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Yes</w:t>
            </w: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Yes</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Yes</w:t>
            </w:r>
          </w:p>
        </w:tc>
        <w:tc>
          <w:tcPr>
            <w:tcW w:w="1251"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Yes</w:t>
            </w:r>
          </w:p>
        </w:tc>
      </w:tr>
      <w:tr w:rsidR="00B05451" w:rsidRPr="00524A1A" w:rsidTr="00296501">
        <w:trPr>
          <w:trHeight w:val="147"/>
        </w:trPr>
        <w:tc>
          <w:tcPr>
            <w:tcW w:w="3099" w:type="dxa"/>
            <w:gridSpan w:val="2"/>
            <w:tcBorders>
              <w:top w:val="nil"/>
              <w:left w:val="nil"/>
              <w:bottom w:val="nil"/>
              <w:right w:val="nil"/>
            </w:tcBorders>
            <w:shd w:val="clear" w:color="auto" w:fill="auto"/>
            <w:noWrap/>
            <w:vAlign w:val="center"/>
            <w:hideMark/>
          </w:tcPr>
          <w:p w:rsidR="00B05451" w:rsidRPr="00524A1A" w:rsidRDefault="00B05451" w:rsidP="00B05451">
            <w:pPr>
              <w:spacing w:after="0" w:line="240" w:lineRule="auto"/>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Observations</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14844</w:t>
            </w: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13252</w:t>
            </w: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13252</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12878</w:t>
            </w:r>
          </w:p>
        </w:tc>
        <w:tc>
          <w:tcPr>
            <w:tcW w:w="1251"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12878</w:t>
            </w:r>
          </w:p>
        </w:tc>
      </w:tr>
      <w:tr w:rsidR="00B05451" w:rsidRPr="00524A1A" w:rsidTr="00296501">
        <w:trPr>
          <w:trHeight w:val="153"/>
        </w:trPr>
        <w:tc>
          <w:tcPr>
            <w:tcW w:w="3099" w:type="dxa"/>
            <w:gridSpan w:val="2"/>
            <w:tcBorders>
              <w:top w:val="nil"/>
              <w:left w:val="nil"/>
              <w:bottom w:val="single" w:sz="12" w:space="0" w:color="AA273E"/>
              <w:right w:val="nil"/>
            </w:tcBorders>
            <w:shd w:val="clear" w:color="auto" w:fill="auto"/>
            <w:noWrap/>
            <w:vAlign w:val="center"/>
            <w:hideMark/>
          </w:tcPr>
          <w:p w:rsidR="00B05451" w:rsidRPr="00524A1A" w:rsidRDefault="00B05451" w:rsidP="00B05451">
            <w:pPr>
              <w:spacing w:after="0" w:line="240" w:lineRule="auto"/>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Pseudo R-sq</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0.605</w:t>
            </w: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0.615</w:t>
            </w:r>
          </w:p>
        </w:tc>
        <w:tc>
          <w:tcPr>
            <w:tcW w:w="1378"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0.617</w:t>
            </w:r>
          </w:p>
        </w:tc>
        <w:tc>
          <w:tcPr>
            <w:tcW w:w="1245"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0.617</w:t>
            </w:r>
          </w:p>
        </w:tc>
        <w:tc>
          <w:tcPr>
            <w:tcW w:w="1251" w:type="dxa"/>
            <w:tcBorders>
              <w:top w:val="nil"/>
              <w:left w:val="nil"/>
              <w:bottom w:val="nil"/>
              <w:right w:val="nil"/>
            </w:tcBorders>
            <w:shd w:val="clear" w:color="auto" w:fill="auto"/>
            <w:noWrap/>
            <w:vAlign w:val="center"/>
            <w:hideMark/>
          </w:tcPr>
          <w:p w:rsidR="00B05451" w:rsidRPr="00524A1A" w:rsidRDefault="00B05451" w:rsidP="00B05451">
            <w:pPr>
              <w:spacing w:after="0" w:line="240" w:lineRule="auto"/>
              <w:jc w:val="center"/>
              <w:rPr>
                <w:rFonts w:ascii="Gill Sans MT" w:eastAsia="Times New Roman" w:hAnsi="Gill Sans MT" w:cs="Times New Roman"/>
                <w:color w:val="000000"/>
                <w:lang w:eastAsia="en-GB"/>
              </w:rPr>
            </w:pPr>
            <w:r w:rsidRPr="00524A1A">
              <w:rPr>
                <w:rFonts w:ascii="Gill Sans MT" w:eastAsia="Times New Roman" w:hAnsi="Gill Sans MT" w:cs="Times New Roman"/>
                <w:color w:val="000000"/>
                <w:lang w:eastAsia="en-GB"/>
              </w:rPr>
              <w:t>0.617</w:t>
            </w:r>
          </w:p>
        </w:tc>
      </w:tr>
      <w:tr w:rsidR="00B05451" w:rsidRPr="00524A1A" w:rsidTr="00296501">
        <w:trPr>
          <w:trHeight w:val="1410"/>
        </w:trPr>
        <w:tc>
          <w:tcPr>
            <w:tcW w:w="9597" w:type="dxa"/>
            <w:gridSpan w:val="7"/>
            <w:tcBorders>
              <w:top w:val="single" w:sz="18" w:space="0" w:color="AA273E"/>
              <w:left w:val="nil"/>
              <w:bottom w:val="nil"/>
              <w:right w:val="nil"/>
            </w:tcBorders>
            <w:shd w:val="clear" w:color="auto" w:fill="auto"/>
            <w:vAlign w:val="center"/>
            <w:hideMark/>
          </w:tcPr>
          <w:p w:rsidR="00B05451" w:rsidRPr="00524A1A" w:rsidRDefault="00B05451" w:rsidP="00B05451">
            <w:pPr>
              <w:spacing w:after="0" w:line="240" w:lineRule="auto"/>
              <w:jc w:val="both"/>
              <w:rPr>
                <w:rFonts w:ascii="Gill Sans MT" w:eastAsia="Times New Roman" w:hAnsi="Gill Sans MT" w:cs="Times New Roman"/>
                <w:color w:val="000000"/>
                <w:sz w:val="20"/>
                <w:szCs w:val="20"/>
                <w:lang w:eastAsia="en-GB"/>
              </w:rPr>
            </w:pPr>
            <w:r w:rsidRPr="00524A1A">
              <w:rPr>
                <w:rFonts w:ascii="Gill Sans MT" w:eastAsia="Times New Roman" w:hAnsi="Gill Sans MT" w:cs="Times New Roman"/>
                <w:color w:val="000000"/>
                <w:sz w:val="20"/>
                <w:szCs w:val="20"/>
                <w:lang w:eastAsia="en-GB"/>
              </w:rPr>
              <w:t>Table 3: this table outlines the regression for FDI inflows on different BITs. Standard errors are in brackets; one star indicates statistical significance at 10% level, two stars at 5%, and three at 1%. Specification (1) presents a si</w:t>
            </w:r>
            <w:r w:rsidRPr="00524A1A">
              <w:rPr>
                <w:rFonts w:ascii="Gill Sans MT" w:eastAsia="Times New Roman" w:hAnsi="Gill Sans MT" w:cs="Times New Roman"/>
                <w:color w:val="000000"/>
                <w:sz w:val="20"/>
                <w:szCs w:val="20"/>
                <w:lang w:eastAsia="en-GB"/>
              </w:rPr>
              <w:t>m</w:t>
            </w:r>
            <w:r w:rsidRPr="00524A1A">
              <w:rPr>
                <w:rFonts w:ascii="Gill Sans MT" w:eastAsia="Times New Roman" w:hAnsi="Gill Sans MT" w:cs="Times New Roman"/>
                <w:color w:val="000000"/>
                <w:sz w:val="20"/>
                <w:szCs w:val="20"/>
                <w:lang w:eastAsia="en-GB"/>
              </w:rPr>
              <w:t>ple gravity model, whereby real GDP of host and source countries feature alone. Host-source fixed effects are present in every specification to control for the large cross-country heterogeneity that inevitably occurs (for e</w:t>
            </w:r>
            <w:r w:rsidRPr="00524A1A">
              <w:rPr>
                <w:rFonts w:ascii="Gill Sans MT" w:eastAsia="Times New Roman" w:hAnsi="Gill Sans MT" w:cs="Times New Roman"/>
                <w:color w:val="000000"/>
                <w:sz w:val="20"/>
                <w:szCs w:val="20"/>
                <w:lang w:eastAsia="en-GB"/>
              </w:rPr>
              <w:t>x</w:t>
            </w:r>
            <w:r w:rsidRPr="00524A1A">
              <w:rPr>
                <w:rFonts w:ascii="Gill Sans MT" w:eastAsia="Times New Roman" w:hAnsi="Gill Sans MT" w:cs="Times New Roman"/>
                <w:color w:val="000000"/>
                <w:sz w:val="20"/>
                <w:szCs w:val="20"/>
                <w:lang w:eastAsia="en-GB"/>
              </w:rPr>
              <w:t>ample, distance between two countries). Specification (2) includes year dummies to control for trends that likely occurred in FDI inflows. Specification (3) adds controls for trade between the two countries in question, (4) co</w:t>
            </w:r>
            <w:r w:rsidRPr="00524A1A">
              <w:rPr>
                <w:rFonts w:ascii="Gill Sans MT" w:eastAsia="Times New Roman" w:hAnsi="Gill Sans MT" w:cs="Times New Roman"/>
                <w:color w:val="000000"/>
                <w:sz w:val="20"/>
                <w:szCs w:val="20"/>
                <w:lang w:eastAsia="en-GB"/>
              </w:rPr>
              <w:t>n</w:t>
            </w:r>
            <w:r w:rsidRPr="00524A1A">
              <w:rPr>
                <w:rFonts w:ascii="Gill Sans MT" w:eastAsia="Times New Roman" w:hAnsi="Gill Sans MT" w:cs="Times New Roman"/>
                <w:color w:val="000000"/>
                <w:sz w:val="20"/>
                <w:szCs w:val="20"/>
                <w:lang w:eastAsia="en-GB"/>
              </w:rPr>
              <w:t xml:space="preserve">trols for trade agreements that are in place plus relevant investment protection stipulations, and (5) controls for the host country's Polity score of the FDI host. Column (6) presents interactions between ISDS clauses and the Polity scores. Wald tests for the full impact of BITs that have pre-consent to ISDS </w:t>
            </w:r>
            <w:r w:rsidRPr="00D377D8">
              <w:rPr>
                <w:rFonts w:ascii="Gill Sans MT" w:eastAsia="Times New Roman" w:hAnsi="Gill Sans MT" w:cs="Times New Roman"/>
                <w:color w:val="000000"/>
                <w:sz w:val="20"/>
                <w:szCs w:val="20"/>
                <w:lang w:eastAsia="en-GB"/>
              </w:rPr>
              <w:t>alone (</w:t>
            </w:r>
            <m:oMath>
              <m:sSub>
                <m:sSubPr>
                  <m:ctrlPr>
                    <w:rPr>
                      <w:rFonts w:ascii="Cambria Math" w:hAnsi="Cambria Math" w:cs="Courier New"/>
                      <w:i/>
                      <w:sz w:val="20"/>
                      <w:szCs w:val="20"/>
                    </w:rPr>
                  </m:ctrlPr>
                </m:sSubPr>
                <m:e>
                  <m:acc>
                    <m:accPr>
                      <m:ctrlPr>
                        <w:rPr>
                          <w:rFonts w:ascii="Cambria Math" w:hAnsi="Cambria Math" w:cs="Courier New"/>
                          <w:i/>
                          <w:sz w:val="20"/>
                          <w:szCs w:val="20"/>
                        </w:rPr>
                      </m:ctrlPr>
                    </m:accPr>
                    <m:e>
                      <m:r>
                        <w:rPr>
                          <w:rFonts w:ascii="Cambria Math" w:hAnsi="Cambria Math" w:cs="Courier New"/>
                          <w:sz w:val="20"/>
                          <w:szCs w:val="20"/>
                        </w:rPr>
                        <m:t>B</m:t>
                      </m:r>
                    </m:e>
                  </m:acc>
                </m:e>
                <m:sub>
                  <m:r>
                    <w:rPr>
                      <w:rFonts w:ascii="Cambria Math" w:hAnsi="Cambria Math" w:cs="Courier New"/>
                      <w:sz w:val="20"/>
                      <w:szCs w:val="20"/>
                    </w:rPr>
                    <m:t>weak</m:t>
                  </m:r>
                </m:sub>
              </m:sSub>
            </m:oMath>
            <w:r w:rsidRPr="00D377D8">
              <w:rPr>
                <w:rFonts w:ascii="Gill Sans MT" w:eastAsia="Times New Roman" w:hAnsi="Gill Sans MT" w:cs="Times New Roman"/>
                <w:sz w:val="20"/>
                <w:szCs w:val="20"/>
              </w:rPr>
              <w:t>) and that have all ISDS provisions included (</w:t>
            </w:r>
            <m:oMath>
              <m:sSub>
                <m:sSubPr>
                  <m:ctrlPr>
                    <w:rPr>
                      <w:rFonts w:ascii="Cambria Math" w:hAnsi="Cambria Math" w:cs="Courier New"/>
                      <w:i/>
                      <w:sz w:val="20"/>
                      <w:szCs w:val="20"/>
                    </w:rPr>
                  </m:ctrlPr>
                </m:sSubPr>
                <m:e>
                  <m:acc>
                    <m:accPr>
                      <m:ctrlPr>
                        <w:rPr>
                          <w:rFonts w:ascii="Cambria Math" w:hAnsi="Cambria Math" w:cs="Courier New"/>
                          <w:i/>
                          <w:sz w:val="20"/>
                          <w:szCs w:val="20"/>
                        </w:rPr>
                      </m:ctrlPr>
                    </m:accPr>
                    <m:e>
                      <m:r>
                        <w:rPr>
                          <w:rFonts w:ascii="Cambria Math" w:hAnsi="Cambria Math" w:cs="Courier New"/>
                          <w:sz w:val="20"/>
                          <w:szCs w:val="20"/>
                        </w:rPr>
                        <m:t>B</m:t>
                      </m:r>
                    </m:e>
                  </m:acc>
                </m:e>
                <m:sub>
                  <m:r>
                    <w:rPr>
                      <w:rFonts w:ascii="Cambria Math" w:hAnsi="Cambria Math" w:cs="Courier New"/>
                      <w:sz w:val="20"/>
                      <w:szCs w:val="20"/>
                    </w:rPr>
                    <m:t>strong</m:t>
                  </m:r>
                </m:sub>
              </m:sSub>
            </m:oMath>
            <w:r w:rsidRPr="00D377D8">
              <w:rPr>
                <w:rFonts w:ascii="Gill Sans MT" w:eastAsia="Times New Roman" w:hAnsi="Gill Sans MT" w:cs="Times New Roman"/>
                <w:sz w:val="20"/>
                <w:szCs w:val="20"/>
              </w:rPr>
              <w:t>)</w:t>
            </w:r>
            <w:r>
              <w:rPr>
                <w:rFonts w:ascii="Gill Sans MT" w:eastAsia="Times New Roman" w:hAnsi="Gill Sans MT" w:cs="Times New Roman"/>
                <w:sz w:val="20"/>
                <w:szCs w:val="20"/>
              </w:rPr>
              <w:t xml:space="preserve"> are presented at the bottom, with their respective standard errors in brackets.</w:t>
            </w:r>
          </w:p>
        </w:tc>
      </w:tr>
    </w:tbl>
    <w:p w:rsidR="00B05451" w:rsidRDefault="00B05451" w:rsidP="00B05451">
      <w:pPr>
        <w:pStyle w:val="PlainText"/>
        <w:spacing w:after="120" w:line="360" w:lineRule="auto"/>
        <w:jc w:val="both"/>
        <w:rPr>
          <w:rFonts w:asciiTheme="minorHAnsi" w:hAnsiTheme="minorHAnsi" w:cs="Courier New"/>
          <w:sz w:val="22"/>
          <w:szCs w:val="22"/>
        </w:rPr>
      </w:pPr>
      <w:r>
        <w:rPr>
          <w:rFonts w:asciiTheme="minorHAnsi" w:hAnsiTheme="minorHAnsi" w:cs="Courier New"/>
          <w:sz w:val="22"/>
          <w:szCs w:val="22"/>
        </w:rPr>
        <w:lastRenderedPageBreak/>
        <w:t xml:space="preserve">In column (2) of Table 3 we control for the </w:t>
      </w:r>
      <w:r w:rsidR="0036723D">
        <w:rPr>
          <w:rFonts w:asciiTheme="minorHAnsi" w:hAnsiTheme="minorHAnsi" w:cs="Courier New"/>
          <w:sz w:val="22"/>
          <w:szCs w:val="22"/>
        </w:rPr>
        <w:t>P</w:t>
      </w:r>
      <w:r>
        <w:rPr>
          <w:rFonts w:asciiTheme="minorHAnsi" w:hAnsiTheme="minorHAnsi" w:cs="Courier New"/>
          <w:sz w:val="22"/>
          <w:szCs w:val="22"/>
        </w:rPr>
        <w:t>olity variable as a measure of institutional quality. The e</w:t>
      </w:r>
      <w:r>
        <w:rPr>
          <w:rFonts w:asciiTheme="minorHAnsi" w:hAnsiTheme="minorHAnsi" w:cs="Courier New"/>
          <w:sz w:val="22"/>
          <w:szCs w:val="22"/>
        </w:rPr>
        <w:t>s</w:t>
      </w:r>
      <w:r>
        <w:rPr>
          <w:rFonts w:asciiTheme="minorHAnsi" w:hAnsiTheme="minorHAnsi" w:cs="Courier New"/>
          <w:sz w:val="22"/>
          <w:szCs w:val="22"/>
        </w:rPr>
        <w:t>timated coefficient is statistically significant at 1%</w:t>
      </w:r>
      <w:r w:rsidR="00E65BDC">
        <w:rPr>
          <w:rFonts w:asciiTheme="minorHAnsi" w:hAnsiTheme="minorHAnsi" w:cs="Courier New"/>
          <w:sz w:val="22"/>
          <w:szCs w:val="22"/>
        </w:rPr>
        <w:t xml:space="preserve"> for strong BITs, and at 10% for weak BITs</w:t>
      </w:r>
      <w:r>
        <w:rPr>
          <w:rFonts w:asciiTheme="minorHAnsi" w:hAnsiTheme="minorHAnsi" w:cs="Courier New"/>
          <w:sz w:val="22"/>
          <w:szCs w:val="22"/>
        </w:rPr>
        <w:t xml:space="preserve">. </w:t>
      </w:r>
      <w:r w:rsidR="00E65BDC">
        <w:rPr>
          <w:rFonts w:asciiTheme="minorHAnsi" w:hAnsiTheme="minorHAnsi" w:cs="Courier New"/>
          <w:sz w:val="22"/>
          <w:szCs w:val="22"/>
        </w:rPr>
        <w:t>In the co</w:t>
      </w:r>
      <w:r w:rsidR="00E65BDC">
        <w:rPr>
          <w:rFonts w:asciiTheme="minorHAnsi" w:hAnsiTheme="minorHAnsi" w:cs="Courier New"/>
          <w:sz w:val="22"/>
          <w:szCs w:val="22"/>
        </w:rPr>
        <w:t>n</w:t>
      </w:r>
      <w:r w:rsidR="00E65BDC">
        <w:rPr>
          <w:rFonts w:asciiTheme="minorHAnsi" w:hAnsiTheme="minorHAnsi" w:cs="Courier New"/>
          <w:sz w:val="22"/>
          <w:szCs w:val="22"/>
        </w:rPr>
        <w:t>text of signing BITs to improve institutional quality, this makes sense; the sensitivity of the effect of BITs to institutional quality is further reinforced when accounting for possible interaction effects b</w:t>
      </w:r>
      <w:r w:rsidR="00E65BDC">
        <w:rPr>
          <w:rFonts w:asciiTheme="minorHAnsi" w:hAnsiTheme="minorHAnsi" w:cs="Courier New"/>
          <w:sz w:val="22"/>
          <w:szCs w:val="22"/>
        </w:rPr>
        <w:t>e</w:t>
      </w:r>
      <w:r w:rsidR="00E65BDC">
        <w:rPr>
          <w:rFonts w:asciiTheme="minorHAnsi" w:hAnsiTheme="minorHAnsi" w:cs="Courier New"/>
          <w:sz w:val="22"/>
          <w:szCs w:val="22"/>
        </w:rPr>
        <w:t xml:space="preserve">tween the contractual contents of BITs and Polity IV, as seen under column (6). </w:t>
      </w:r>
      <w:r>
        <w:rPr>
          <w:rFonts w:asciiTheme="minorHAnsi" w:hAnsiTheme="minorHAnsi" w:cs="Courier New"/>
          <w:sz w:val="22"/>
          <w:szCs w:val="22"/>
        </w:rPr>
        <w:t>While there is little change in the size of the other coefficients and the joint significant tests improve. Moreover, because of the log structure, the coefficients can be interpreted as elastic</w:t>
      </w:r>
      <w:r w:rsidR="00E65BDC">
        <w:rPr>
          <w:rFonts w:asciiTheme="minorHAnsi" w:hAnsiTheme="minorHAnsi" w:cs="Courier New"/>
          <w:sz w:val="22"/>
          <w:szCs w:val="22"/>
        </w:rPr>
        <w:t xml:space="preserve">ities; </w:t>
      </w:r>
      <w:r>
        <w:rPr>
          <w:rFonts w:asciiTheme="minorHAnsi" w:hAnsiTheme="minorHAnsi" w:cs="Courier New"/>
          <w:sz w:val="22"/>
          <w:szCs w:val="22"/>
        </w:rPr>
        <w:t>economic interpretation is that having a weak BIT can on av</w:t>
      </w:r>
      <w:r w:rsidR="00E65BDC">
        <w:rPr>
          <w:rFonts w:asciiTheme="minorHAnsi" w:hAnsiTheme="minorHAnsi" w:cs="Courier New"/>
          <w:sz w:val="22"/>
          <w:szCs w:val="22"/>
        </w:rPr>
        <w:t xml:space="preserve">erage increase FDI flows by 46%, while </w:t>
      </w:r>
      <w:r>
        <w:rPr>
          <w:rFonts w:asciiTheme="minorHAnsi" w:hAnsiTheme="minorHAnsi" w:cs="Courier New"/>
          <w:sz w:val="22"/>
          <w:szCs w:val="22"/>
        </w:rPr>
        <w:t>a strong BIT can on average i</w:t>
      </w:r>
      <w:r>
        <w:rPr>
          <w:rFonts w:asciiTheme="minorHAnsi" w:hAnsiTheme="minorHAnsi" w:cs="Courier New"/>
          <w:sz w:val="22"/>
          <w:szCs w:val="22"/>
        </w:rPr>
        <w:t>n</w:t>
      </w:r>
      <w:r>
        <w:rPr>
          <w:rFonts w:asciiTheme="minorHAnsi" w:hAnsiTheme="minorHAnsi" w:cs="Courier New"/>
          <w:sz w:val="22"/>
          <w:szCs w:val="22"/>
        </w:rPr>
        <w:t>crease FDI flows by 97% after accounting for the size of economies, quality of institutions and time and host-source fixed effects.</w:t>
      </w:r>
    </w:p>
    <w:p w:rsidR="00B05451" w:rsidRDefault="00B05451" w:rsidP="00B05451">
      <w:pPr>
        <w:pStyle w:val="PlainText"/>
        <w:spacing w:after="120" w:line="360" w:lineRule="auto"/>
        <w:jc w:val="both"/>
        <w:rPr>
          <w:rFonts w:asciiTheme="minorHAnsi" w:hAnsiTheme="minorHAnsi" w:cs="Courier New"/>
          <w:sz w:val="22"/>
          <w:szCs w:val="22"/>
        </w:rPr>
      </w:pPr>
      <w:r>
        <w:rPr>
          <w:rFonts w:asciiTheme="minorHAnsi" w:hAnsiTheme="minorHAnsi" w:cs="Courier New"/>
          <w:sz w:val="22"/>
          <w:szCs w:val="22"/>
        </w:rPr>
        <w:t>However, a strong note of caution is required. The contractual terms on BITs are choice variables that are decided by politicians, just like the decision to enter into a trade agreement. The choice is likely to depend on other considerations, implying that they are determined within a global model and the c</w:t>
      </w:r>
      <w:r>
        <w:rPr>
          <w:rFonts w:asciiTheme="minorHAnsi" w:hAnsiTheme="minorHAnsi" w:cs="Courier New"/>
          <w:sz w:val="22"/>
          <w:szCs w:val="22"/>
        </w:rPr>
        <w:t>o</w:t>
      </w:r>
      <w:r>
        <w:rPr>
          <w:rFonts w:asciiTheme="minorHAnsi" w:hAnsiTheme="minorHAnsi" w:cs="Courier New"/>
          <w:sz w:val="22"/>
          <w:szCs w:val="22"/>
        </w:rPr>
        <w:t>efficients are likely to be biased.</w:t>
      </w:r>
      <w:r>
        <w:rPr>
          <w:rStyle w:val="FootnoteReference"/>
          <w:rFonts w:asciiTheme="minorHAnsi" w:hAnsiTheme="minorHAnsi" w:cs="Courier New"/>
          <w:sz w:val="22"/>
          <w:szCs w:val="22"/>
        </w:rPr>
        <w:footnoteReference w:id="5"/>
      </w:r>
      <w:r>
        <w:rPr>
          <w:rFonts w:asciiTheme="minorHAnsi" w:hAnsiTheme="minorHAnsi" w:cs="Courier New"/>
          <w:sz w:val="22"/>
          <w:szCs w:val="22"/>
        </w:rPr>
        <w:t xml:space="preserve"> For example, countries with poor quality institutions that </w:t>
      </w:r>
      <w:r w:rsidR="00E65BDC">
        <w:rPr>
          <w:rFonts w:asciiTheme="minorHAnsi" w:hAnsiTheme="minorHAnsi" w:cs="Courier New"/>
          <w:sz w:val="22"/>
          <w:szCs w:val="22"/>
        </w:rPr>
        <w:t>are</w:t>
      </w:r>
      <w:r w:rsidR="0036723D">
        <w:rPr>
          <w:rFonts w:asciiTheme="minorHAnsi" w:hAnsiTheme="minorHAnsi" w:cs="Courier New"/>
          <w:sz w:val="22"/>
          <w:szCs w:val="22"/>
        </w:rPr>
        <w:t xml:space="preserve"> not fully captured in the P</w:t>
      </w:r>
      <w:r>
        <w:rPr>
          <w:rFonts w:asciiTheme="minorHAnsi" w:hAnsiTheme="minorHAnsi" w:cs="Courier New"/>
          <w:sz w:val="22"/>
          <w:szCs w:val="22"/>
        </w:rPr>
        <w:t>olity index may be more likely to include stricter ISDS provisions in BITs. This would overstate the economic importance of the BIT provisions.</w:t>
      </w:r>
    </w:p>
    <w:p w:rsidR="0036723D" w:rsidRPr="00B54BC7" w:rsidRDefault="00B05451" w:rsidP="0036723D">
      <w:pPr>
        <w:pStyle w:val="PlainText"/>
        <w:spacing w:after="120" w:line="360" w:lineRule="auto"/>
        <w:jc w:val="both"/>
        <w:rPr>
          <w:rFonts w:asciiTheme="minorHAnsi" w:hAnsiTheme="minorHAnsi" w:cs="Courier New"/>
          <w:sz w:val="22"/>
          <w:szCs w:val="22"/>
        </w:rPr>
      </w:pPr>
      <w:r>
        <w:rPr>
          <w:rFonts w:asciiTheme="minorHAnsi" w:hAnsiTheme="minorHAnsi" w:cs="Courier New"/>
          <w:sz w:val="22"/>
          <w:szCs w:val="22"/>
        </w:rPr>
        <w:t>In column (3) we include a dummy variable to show whether the pair of countries have a PTA between them</w:t>
      </w:r>
      <w:r w:rsidR="00E65BDC">
        <w:rPr>
          <w:rFonts w:asciiTheme="minorHAnsi" w:hAnsiTheme="minorHAnsi" w:cs="Courier New"/>
          <w:sz w:val="22"/>
          <w:szCs w:val="22"/>
        </w:rPr>
        <w:t>, as well as any investment provisions</w:t>
      </w:r>
      <w:r>
        <w:rPr>
          <w:rFonts w:asciiTheme="minorHAnsi" w:hAnsiTheme="minorHAnsi" w:cs="Courier New"/>
          <w:sz w:val="22"/>
          <w:szCs w:val="22"/>
        </w:rPr>
        <w:t>. This may be driving the greater FDI flow and the willin</w:t>
      </w:r>
      <w:r>
        <w:rPr>
          <w:rFonts w:asciiTheme="minorHAnsi" w:hAnsiTheme="minorHAnsi" w:cs="Courier New"/>
          <w:sz w:val="22"/>
          <w:szCs w:val="22"/>
        </w:rPr>
        <w:t>g</w:t>
      </w:r>
      <w:r>
        <w:rPr>
          <w:rFonts w:asciiTheme="minorHAnsi" w:hAnsiTheme="minorHAnsi" w:cs="Courier New"/>
          <w:sz w:val="22"/>
          <w:szCs w:val="22"/>
        </w:rPr>
        <w:t>ness to have a strong BIT. The size and significance of the ISDS provisions are barely changed at the joint significance tests re-enforce the importance of the BIT provisions. In column (4) we include trade between two countries. Total capital flows are related to trade flows through the balance of payments. It may be that large bilateral trade flows drive the investment flows and perhaps even the willingness to enter strong BITs. The economic impact of the strong BIT is reduced but remains statistically signif</w:t>
      </w:r>
      <w:r>
        <w:rPr>
          <w:rFonts w:asciiTheme="minorHAnsi" w:hAnsiTheme="minorHAnsi" w:cs="Courier New"/>
          <w:sz w:val="22"/>
          <w:szCs w:val="22"/>
        </w:rPr>
        <w:t>i</w:t>
      </w:r>
      <w:r>
        <w:rPr>
          <w:rFonts w:asciiTheme="minorHAnsi" w:hAnsiTheme="minorHAnsi" w:cs="Courier New"/>
          <w:sz w:val="22"/>
          <w:szCs w:val="22"/>
        </w:rPr>
        <w:t xml:space="preserve">cant at 1%. The results suggest that accounting for the size of economies, quality of institutions, PTAs and bilateral trade flows and fixed effects a strong BIT can on average increase FDI inflows by 78%. </w:t>
      </w:r>
      <w:r w:rsidR="0036723D" w:rsidRPr="00B54BC7">
        <w:rPr>
          <w:rFonts w:asciiTheme="minorHAnsi" w:hAnsiTheme="minorHAnsi" w:cs="Courier New"/>
          <w:sz w:val="22"/>
          <w:szCs w:val="22"/>
        </w:rPr>
        <w:t>A pseudo R-square value of around 0.6 indicates a reasonably good fit as far as FDI models go, since FDI can be inconsistent with different processes of</w:t>
      </w:r>
      <w:r w:rsidR="0036723D">
        <w:rPr>
          <w:rFonts w:asciiTheme="minorHAnsi" w:hAnsiTheme="minorHAnsi" w:cs="Courier New"/>
          <w:sz w:val="22"/>
          <w:szCs w:val="22"/>
        </w:rPr>
        <w:t xml:space="preserve"> documentation in each country.</w:t>
      </w:r>
    </w:p>
    <w:p w:rsidR="002859D8" w:rsidRPr="00B54BC7" w:rsidRDefault="0036723D" w:rsidP="0036723D">
      <w:pPr>
        <w:pStyle w:val="PlainText"/>
        <w:spacing w:after="120" w:line="360" w:lineRule="auto"/>
        <w:jc w:val="both"/>
        <w:rPr>
          <w:rFonts w:asciiTheme="minorHAnsi" w:hAnsiTheme="minorHAnsi" w:cs="Courier New"/>
          <w:sz w:val="22"/>
          <w:szCs w:val="22"/>
        </w:rPr>
      </w:pPr>
      <w:r>
        <w:rPr>
          <w:rFonts w:asciiTheme="minorHAnsi" w:hAnsiTheme="minorHAnsi" w:cs="Courier New"/>
          <w:sz w:val="22"/>
          <w:szCs w:val="22"/>
        </w:rPr>
        <w:t xml:space="preserve">In column (5) we </w:t>
      </w:r>
      <w:r w:rsidR="002859D8">
        <w:rPr>
          <w:rFonts w:asciiTheme="minorHAnsi" w:hAnsiTheme="minorHAnsi" w:cs="Courier New"/>
          <w:sz w:val="22"/>
          <w:szCs w:val="22"/>
        </w:rPr>
        <w:t>evaluate the effectiveness of the various clauses when inter</w:t>
      </w:r>
      <w:r w:rsidR="005524F1">
        <w:rPr>
          <w:rFonts w:asciiTheme="minorHAnsi" w:hAnsiTheme="minorHAnsi" w:cs="Courier New"/>
          <w:sz w:val="22"/>
          <w:szCs w:val="22"/>
        </w:rPr>
        <w:t>-</w:t>
      </w:r>
      <w:bookmarkStart w:id="0" w:name="_GoBack"/>
      <w:bookmarkEnd w:id="0"/>
      <w:r w:rsidR="002859D8">
        <w:rPr>
          <w:rFonts w:asciiTheme="minorHAnsi" w:hAnsiTheme="minorHAnsi" w:cs="Courier New"/>
          <w:sz w:val="22"/>
          <w:szCs w:val="22"/>
        </w:rPr>
        <w:t>acting them with the Po</w:t>
      </w:r>
      <w:r w:rsidR="002859D8">
        <w:rPr>
          <w:rFonts w:asciiTheme="minorHAnsi" w:hAnsiTheme="minorHAnsi" w:cs="Courier New"/>
          <w:sz w:val="22"/>
          <w:szCs w:val="22"/>
        </w:rPr>
        <w:t>l</w:t>
      </w:r>
      <w:r w:rsidR="002859D8">
        <w:rPr>
          <w:rFonts w:asciiTheme="minorHAnsi" w:hAnsiTheme="minorHAnsi" w:cs="Courier New"/>
          <w:sz w:val="22"/>
          <w:szCs w:val="22"/>
        </w:rPr>
        <w:t>ity scores. Intuitively, the stringency of rules ought to be more effective in states that do not offer solid legislative infrastructure to protect investment, therefore proving to be more effective in stimulating FDI inflows. While there is evidence of a statistically significant effect in ISDS pre-consent when inte</w:t>
      </w:r>
      <w:r w:rsidR="002859D8">
        <w:rPr>
          <w:rFonts w:asciiTheme="minorHAnsi" w:hAnsiTheme="minorHAnsi" w:cs="Courier New"/>
          <w:sz w:val="22"/>
          <w:szCs w:val="22"/>
        </w:rPr>
        <w:t>r</w:t>
      </w:r>
      <w:r w:rsidR="002859D8">
        <w:rPr>
          <w:rFonts w:asciiTheme="minorHAnsi" w:hAnsiTheme="minorHAnsi" w:cs="Courier New"/>
          <w:sz w:val="22"/>
          <w:szCs w:val="22"/>
        </w:rPr>
        <w:t>acted, the result on BITs that hold binding interpretation holds the opposite sign; the former confirms ISDS to be more e</w:t>
      </w:r>
      <w:r w:rsidR="00296501">
        <w:rPr>
          <w:rFonts w:asciiTheme="minorHAnsi" w:hAnsiTheme="minorHAnsi" w:cs="Courier New"/>
          <w:sz w:val="22"/>
          <w:szCs w:val="22"/>
        </w:rPr>
        <w:t>ffective in countries with low P</w:t>
      </w:r>
      <w:r w:rsidR="002859D8">
        <w:rPr>
          <w:rFonts w:asciiTheme="minorHAnsi" w:hAnsiTheme="minorHAnsi" w:cs="Courier New"/>
          <w:sz w:val="22"/>
          <w:szCs w:val="22"/>
        </w:rPr>
        <w:t>olity scores, while the latter refutes this hypothesis.</w:t>
      </w:r>
      <w:r>
        <w:rPr>
          <w:rFonts w:asciiTheme="minorHAnsi" w:hAnsiTheme="minorHAnsi" w:cs="Courier New"/>
          <w:sz w:val="22"/>
          <w:szCs w:val="22"/>
        </w:rPr>
        <w:t xml:space="preserve"> </w:t>
      </w:r>
    </w:p>
    <w:p w:rsidR="002859D8" w:rsidRDefault="0036723D" w:rsidP="00FA16EB">
      <w:pPr>
        <w:pStyle w:val="PlainText"/>
        <w:spacing w:after="120" w:line="360" w:lineRule="auto"/>
        <w:jc w:val="both"/>
        <w:rPr>
          <w:rFonts w:asciiTheme="minorHAnsi" w:hAnsiTheme="minorHAnsi" w:cs="Courier New"/>
          <w:sz w:val="22"/>
          <w:szCs w:val="22"/>
        </w:rPr>
      </w:pPr>
      <w:r>
        <w:rPr>
          <w:rFonts w:asciiTheme="minorHAnsi" w:hAnsiTheme="minorHAnsi" w:cs="Courier New"/>
          <w:sz w:val="22"/>
          <w:szCs w:val="22"/>
        </w:rPr>
        <w:lastRenderedPageBreak/>
        <w:t xml:space="preserve">The </w:t>
      </w:r>
      <w:r w:rsidR="002859D8">
        <w:rPr>
          <w:rFonts w:asciiTheme="minorHAnsi" w:hAnsiTheme="minorHAnsi" w:cs="Courier New"/>
          <w:sz w:val="22"/>
          <w:szCs w:val="22"/>
        </w:rPr>
        <w:t>investment protection clauses</w:t>
      </w:r>
      <w:r>
        <w:rPr>
          <w:rFonts w:asciiTheme="minorHAnsi" w:hAnsiTheme="minorHAnsi" w:cs="Courier New"/>
          <w:sz w:val="22"/>
          <w:szCs w:val="22"/>
        </w:rPr>
        <w:t xml:space="preserve"> in PTAs</w:t>
      </w:r>
      <w:r w:rsidR="002859D8">
        <w:rPr>
          <w:rFonts w:asciiTheme="minorHAnsi" w:hAnsiTheme="minorHAnsi" w:cs="Courier New"/>
          <w:sz w:val="22"/>
          <w:szCs w:val="22"/>
        </w:rPr>
        <w:t xml:space="preserve"> (</w:t>
      </w:r>
      <w:r w:rsidR="002859D8" w:rsidRPr="00523B7C">
        <w:rPr>
          <w:rFonts w:asciiTheme="minorHAnsi" w:hAnsiTheme="minorHAnsi" w:cs="Courier New"/>
          <w:i/>
          <w:sz w:val="22"/>
          <w:szCs w:val="22"/>
        </w:rPr>
        <w:t>Inv_Pro</w:t>
      </w:r>
      <w:r w:rsidR="002859D8" w:rsidRPr="00523B7C">
        <w:rPr>
          <w:rFonts w:asciiTheme="minorHAnsi" w:hAnsiTheme="minorHAnsi" w:cs="Courier New"/>
          <w:i/>
          <w:sz w:val="22"/>
          <w:szCs w:val="22"/>
          <w:vertAlign w:val="subscript"/>
        </w:rPr>
        <w:t>ijt</w:t>
      </w:r>
      <w:r w:rsidR="002859D8">
        <w:rPr>
          <w:rFonts w:asciiTheme="minorHAnsi" w:hAnsiTheme="minorHAnsi" w:cs="Courier New"/>
          <w:sz w:val="22"/>
          <w:szCs w:val="22"/>
        </w:rPr>
        <w:t xml:space="preserve">) are </w:t>
      </w:r>
      <w:r>
        <w:rPr>
          <w:rFonts w:asciiTheme="minorHAnsi" w:hAnsiTheme="minorHAnsi" w:cs="Courier New"/>
          <w:sz w:val="22"/>
          <w:szCs w:val="22"/>
        </w:rPr>
        <w:t xml:space="preserve">statically </w:t>
      </w:r>
      <w:r w:rsidR="002859D8">
        <w:rPr>
          <w:rFonts w:asciiTheme="minorHAnsi" w:hAnsiTheme="minorHAnsi" w:cs="Courier New"/>
          <w:sz w:val="22"/>
          <w:szCs w:val="22"/>
        </w:rPr>
        <w:t xml:space="preserve">significant </w:t>
      </w:r>
      <w:r>
        <w:rPr>
          <w:rFonts w:asciiTheme="minorHAnsi" w:hAnsiTheme="minorHAnsi" w:cs="Courier New"/>
          <w:sz w:val="22"/>
          <w:szCs w:val="22"/>
        </w:rPr>
        <w:t xml:space="preserve">at 10% </w:t>
      </w:r>
      <w:r w:rsidR="002859D8">
        <w:rPr>
          <w:rFonts w:asciiTheme="minorHAnsi" w:hAnsiTheme="minorHAnsi" w:cs="Courier New"/>
          <w:sz w:val="22"/>
          <w:szCs w:val="22"/>
        </w:rPr>
        <w:t>in boosting FDI inflows</w:t>
      </w:r>
      <w:r>
        <w:rPr>
          <w:rFonts w:asciiTheme="minorHAnsi" w:hAnsiTheme="minorHAnsi" w:cs="Courier New"/>
          <w:sz w:val="22"/>
          <w:szCs w:val="22"/>
        </w:rPr>
        <w:t xml:space="preserve">. In </w:t>
      </w:r>
      <w:r w:rsidR="002859D8">
        <w:rPr>
          <w:rFonts w:asciiTheme="minorHAnsi" w:hAnsiTheme="minorHAnsi" w:cs="Courier New"/>
          <w:sz w:val="22"/>
          <w:szCs w:val="22"/>
        </w:rPr>
        <w:t xml:space="preserve">their paper, </w:t>
      </w:r>
      <w:r w:rsidR="002859D8" w:rsidRPr="00B54BC7">
        <w:rPr>
          <w:rFonts w:asciiTheme="minorHAnsi" w:hAnsiTheme="minorHAnsi" w:cs="Courier New"/>
          <w:sz w:val="22"/>
          <w:szCs w:val="22"/>
        </w:rPr>
        <w:t xml:space="preserve">Osnago, </w:t>
      </w:r>
      <w:r w:rsidR="002859D8">
        <w:rPr>
          <w:rFonts w:asciiTheme="minorHAnsi" w:hAnsiTheme="minorHAnsi" w:cs="Courier New"/>
          <w:sz w:val="22"/>
          <w:szCs w:val="22"/>
        </w:rPr>
        <w:t>Rochta and Ruta (2015) point out how</w:t>
      </w:r>
      <w:r w:rsidR="002859D8" w:rsidRPr="00B54BC7">
        <w:rPr>
          <w:rFonts w:asciiTheme="minorHAnsi" w:hAnsiTheme="minorHAnsi" w:cs="Courier New"/>
          <w:sz w:val="22"/>
          <w:szCs w:val="22"/>
        </w:rPr>
        <w:t xml:space="preserve"> the type of provisions included in </w:t>
      </w:r>
      <w:r w:rsidR="00C27207">
        <w:rPr>
          <w:rFonts w:asciiTheme="minorHAnsi" w:hAnsiTheme="minorHAnsi" w:cs="Courier New"/>
          <w:sz w:val="22"/>
          <w:szCs w:val="22"/>
        </w:rPr>
        <w:t>PTAs</w:t>
      </w:r>
      <w:r w:rsidR="002859D8" w:rsidRPr="00B54BC7">
        <w:rPr>
          <w:rFonts w:asciiTheme="minorHAnsi" w:hAnsiTheme="minorHAnsi" w:cs="Courier New"/>
          <w:sz w:val="22"/>
          <w:szCs w:val="22"/>
        </w:rPr>
        <w:t xml:space="preserve"> matters. </w:t>
      </w:r>
      <w:r w:rsidR="00C27207">
        <w:rPr>
          <w:rFonts w:asciiTheme="minorHAnsi" w:hAnsiTheme="minorHAnsi" w:cs="Courier New"/>
          <w:sz w:val="22"/>
          <w:szCs w:val="22"/>
        </w:rPr>
        <w:t>Note that</w:t>
      </w:r>
      <w:r w:rsidR="002859D8" w:rsidRPr="00B54BC7">
        <w:rPr>
          <w:rFonts w:asciiTheme="minorHAnsi" w:hAnsiTheme="minorHAnsi" w:cs="Courier New"/>
          <w:sz w:val="22"/>
          <w:szCs w:val="22"/>
        </w:rPr>
        <w:t xml:space="preserve"> the model presented here pays no regard to treaties that exist in conjun</w:t>
      </w:r>
      <w:r w:rsidR="002859D8" w:rsidRPr="00B54BC7">
        <w:rPr>
          <w:rFonts w:asciiTheme="minorHAnsi" w:hAnsiTheme="minorHAnsi" w:cs="Courier New"/>
          <w:sz w:val="22"/>
          <w:szCs w:val="22"/>
        </w:rPr>
        <w:t>c</w:t>
      </w:r>
      <w:r w:rsidR="002859D8" w:rsidRPr="00B54BC7">
        <w:rPr>
          <w:rFonts w:asciiTheme="minorHAnsi" w:hAnsiTheme="minorHAnsi" w:cs="Courier New"/>
          <w:sz w:val="22"/>
          <w:szCs w:val="22"/>
        </w:rPr>
        <w:t>tion with others</w:t>
      </w:r>
      <w:r>
        <w:rPr>
          <w:rFonts w:asciiTheme="minorHAnsi" w:hAnsiTheme="minorHAnsi" w:cs="Courier New"/>
          <w:sz w:val="22"/>
          <w:szCs w:val="22"/>
        </w:rPr>
        <w:t>. T</w:t>
      </w:r>
      <w:r w:rsidR="002859D8" w:rsidRPr="00B54BC7">
        <w:rPr>
          <w:rFonts w:asciiTheme="minorHAnsi" w:hAnsiTheme="minorHAnsi" w:cs="Courier New"/>
          <w:sz w:val="22"/>
          <w:szCs w:val="22"/>
        </w:rPr>
        <w:t xml:space="preserve">here are, for example, a certain number of BITs signed between EU member states. In addition, the negative sign of </w:t>
      </w:r>
      <w:r w:rsidR="002859D8" w:rsidRPr="00523B7C">
        <w:rPr>
          <w:rFonts w:asciiTheme="minorHAnsi" w:hAnsiTheme="minorHAnsi" w:cs="Courier New"/>
          <w:i/>
          <w:sz w:val="22"/>
          <w:szCs w:val="22"/>
        </w:rPr>
        <w:t>Polity</w:t>
      </w:r>
      <w:r w:rsidR="002859D8" w:rsidRPr="00523B7C">
        <w:rPr>
          <w:rFonts w:asciiTheme="minorHAnsi" w:hAnsiTheme="minorHAnsi" w:cs="Courier New"/>
          <w:i/>
          <w:sz w:val="22"/>
          <w:szCs w:val="22"/>
          <w:vertAlign w:val="subscript"/>
        </w:rPr>
        <w:t>ijt</w:t>
      </w:r>
      <w:r w:rsidR="002859D8" w:rsidRPr="00523B7C">
        <w:rPr>
          <w:rFonts w:asciiTheme="minorHAnsi" w:hAnsiTheme="minorHAnsi" w:cs="Courier New"/>
          <w:sz w:val="22"/>
          <w:szCs w:val="22"/>
          <w:vertAlign w:val="subscript"/>
        </w:rPr>
        <w:t xml:space="preserve"> </w:t>
      </w:r>
      <w:r w:rsidR="002859D8">
        <w:rPr>
          <w:rFonts w:asciiTheme="minorHAnsi" w:hAnsiTheme="minorHAnsi" w:cs="Courier New"/>
          <w:sz w:val="22"/>
          <w:szCs w:val="22"/>
        </w:rPr>
        <w:t>is</w:t>
      </w:r>
      <w:r w:rsidR="002859D8" w:rsidRPr="00B54BC7">
        <w:rPr>
          <w:rFonts w:asciiTheme="minorHAnsi" w:hAnsiTheme="minorHAnsi" w:cs="Courier New"/>
          <w:sz w:val="22"/>
          <w:szCs w:val="22"/>
        </w:rPr>
        <w:t xml:space="preserve"> counter-intuitive, as it suggests that countries with lower i</w:t>
      </w:r>
      <w:r w:rsidR="002859D8" w:rsidRPr="00B54BC7">
        <w:rPr>
          <w:rFonts w:asciiTheme="minorHAnsi" w:hAnsiTheme="minorHAnsi" w:cs="Courier New"/>
          <w:sz w:val="22"/>
          <w:szCs w:val="22"/>
        </w:rPr>
        <w:t>n</w:t>
      </w:r>
      <w:r w:rsidR="002859D8" w:rsidRPr="00B54BC7">
        <w:rPr>
          <w:rFonts w:asciiTheme="minorHAnsi" w:hAnsiTheme="minorHAnsi" w:cs="Courier New"/>
          <w:sz w:val="22"/>
          <w:szCs w:val="22"/>
        </w:rPr>
        <w:t>stitutional quality receive higher FDI inflows, although this may also be an endogenous result driven by the emerging markets in the sample. Interestingly, this result holds when using an alternative measure of institutional quality, namely POLCON V; addressing this endogeneity hypothesis would be an inte</w:t>
      </w:r>
      <w:r w:rsidR="002859D8" w:rsidRPr="00B54BC7">
        <w:rPr>
          <w:rFonts w:asciiTheme="minorHAnsi" w:hAnsiTheme="minorHAnsi" w:cs="Courier New"/>
          <w:sz w:val="22"/>
          <w:szCs w:val="22"/>
        </w:rPr>
        <w:t>r</w:t>
      </w:r>
      <w:r w:rsidR="002859D8" w:rsidRPr="00B54BC7">
        <w:rPr>
          <w:rFonts w:asciiTheme="minorHAnsi" w:hAnsiTheme="minorHAnsi" w:cs="Courier New"/>
          <w:sz w:val="22"/>
          <w:szCs w:val="22"/>
        </w:rPr>
        <w:t>esting extension, although one not made here as it extends beyond the scope of this paper.</w:t>
      </w:r>
    </w:p>
    <w:p w:rsidR="002859D8" w:rsidRDefault="0036723D" w:rsidP="00FA16EB">
      <w:pPr>
        <w:pStyle w:val="PlainText"/>
        <w:spacing w:after="120" w:line="360" w:lineRule="auto"/>
        <w:jc w:val="both"/>
        <w:rPr>
          <w:rFonts w:asciiTheme="minorHAnsi" w:hAnsiTheme="minorHAnsi" w:cs="Courier New"/>
          <w:sz w:val="22"/>
          <w:szCs w:val="22"/>
        </w:rPr>
      </w:pPr>
      <w:r>
        <w:rPr>
          <w:rFonts w:asciiTheme="minorHAnsi" w:hAnsiTheme="minorHAnsi" w:cs="Courier New"/>
          <w:sz w:val="22"/>
          <w:szCs w:val="22"/>
        </w:rPr>
        <w:t>The</w:t>
      </w:r>
      <w:r w:rsidR="002859D8" w:rsidRPr="00B54BC7">
        <w:rPr>
          <w:rFonts w:asciiTheme="minorHAnsi" w:hAnsiTheme="minorHAnsi" w:cs="Courier New"/>
          <w:sz w:val="22"/>
          <w:szCs w:val="22"/>
        </w:rPr>
        <w:t xml:space="preserve"> lack of industry specific bilateral FDI data may prove to be a major downside</w:t>
      </w:r>
      <w:r>
        <w:rPr>
          <w:rFonts w:asciiTheme="minorHAnsi" w:hAnsiTheme="minorHAnsi" w:cs="Courier New"/>
          <w:sz w:val="22"/>
          <w:szCs w:val="22"/>
        </w:rPr>
        <w:t>. F</w:t>
      </w:r>
      <w:r w:rsidR="002859D8" w:rsidRPr="00B54BC7">
        <w:rPr>
          <w:rFonts w:asciiTheme="minorHAnsi" w:hAnsiTheme="minorHAnsi" w:cs="Courier New"/>
          <w:sz w:val="22"/>
          <w:szCs w:val="22"/>
        </w:rPr>
        <w:t xml:space="preserve">or example, service industries more reliant on Mode 3 delivery, defined as a commercial presence in foreign countries through branches or subsidiaries, will inevitably be more exposed to the status of protection of their assets (UN, 2010). As such, countries reliant </w:t>
      </w:r>
      <w:r w:rsidR="002859D8">
        <w:rPr>
          <w:rFonts w:asciiTheme="minorHAnsi" w:hAnsiTheme="minorHAnsi" w:cs="Courier New"/>
          <w:sz w:val="22"/>
          <w:szCs w:val="22"/>
        </w:rPr>
        <w:t xml:space="preserve">on </w:t>
      </w:r>
      <w:r w:rsidR="002859D8" w:rsidRPr="00B54BC7">
        <w:rPr>
          <w:rFonts w:asciiTheme="minorHAnsi" w:hAnsiTheme="minorHAnsi" w:cs="Courier New"/>
          <w:sz w:val="22"/>
          <w:szCs w:val="22"/>
        </w:rPr>
        <w:t>FDI from the service sector, such as t</w:t>
      </w:r>
      <w:r w:rsidR="002859D8">
        <w:rPr>
          <w:rFonts w:asciiTheme="minorHAnsi" w:hAnsiTheme="minorHAnsi" w:cs="Courier New"/>
          <w:sz w:val="22"/>
          <w:szCs w:val="22"/>
        </w:rPr>
        <w:t>he UK which r</w:t>
      </w:r>
      <w:r w:rsidR="002859D8">
        <w:rPr>
          <w:rFonts w:asciiTheme="minorHAnsi" w:hAnsiTheme="minorHAnsi" w:cs="Courier New"/>
          <w:sz w:val="22"/>
          <w:szCs w:val="22"/>
        </w:rPr>
        <w:t>e</w:t>
      </w:r>
      <w:r w:rsidR="002859D8">
        <w:rPr>
          <w:rFonts w:asciiTheme="minorHAnsi" w:hAnsiTheme="minorHAnsi" w:cs="Courier New"/>
          <w:sz w:val="22"/>
          <w:szCs w:val="22"/>
        </w:rPr>
        <w:t>ceives roughly 60</w:t>
      </w:r>
      <w:r w:rsidR="002859D8" w:rsidRPr="00B54BC7">
        <w:rPr>
          <w:rFonts w:asciiTheme="minorHAnsi" w:hAnsiTheme="minorHAnsi" w:cs="Courier New"/>
          <w:sz w:val="22"/>
          <w:szCs w:val="22"/>
        </w:rPr>
        <w:t>% of its inward FDI positions in the service sector, ought to have a greater incentive to sign BITs to safeguard investment (ONS, 2014). Antr</w:t>
      </w:r>
      <w:r w:rsidR="002859D8">
        <w:rPr>
          <w:rFonts w:asciiTheme="minorHAnsi" w:hAnsiTheme="minorHAnsi" w:cs="Courier New"/>
          <w:sz w:val="22"/>
          <w:szCs w:val="22"/>
        </w:rPr>
        <w:t>à</w:t>
      </w:r>
      <w:r w:rsidR="002859D8" w:rsidRPr="00B54BC7">
        <w:rPr>
          <w:rFonts w:asciiTheme="minorHAnsi" w:hAnsiTheme="minorHAnsi" w:cs="Courier New"/>
          <w:sz w:val="22"/>
          <w:szCs w:val="22"/>
        </w:rPr>
        <w:t>s and Yeaple (2013) note that multinational activ</w:t>
      </w:r>
      <w:r w:rsidR="002859D8" w:rsidRPr="00B54BC7">
        <w:rPr>
          <w:rFonts w:asciiTheme="minorHAnsi" w:hAnsiTheme="minorHAnsi" w:cs="Courier New"/>
          <w:sz w:val="22"/>
          <w:szCs w:val="22"/>
        </w:rPr>
        <w:t>i</w:t>
      </w:r>
      <w:r w:rsidR="002859D8" w:rsidRPr="00B54BC7">
        <w:rPr>
          <w:rFonts w:asciiTheme="minorHAnsi" w:hAnsiTheme="minorHAnsi" w:cs="Courier New"/>
          <w:sz w:val="22"/>
          <w:szCs w:val="22"/>
        </w:rPr>
        <w:t>ty is rel</w:t>
      </w:r>
      <w:r w:rsidR="002859D8">
        <w:rPr>
          <w:rFonts w:asciiTheme="minorHAnsi" w:hAnsiTheme="minorHAnsi" w:cs="Courier New"/>
          <w:sz w:val="22"/>
          <w:szCs w:val="22"/>
        </w:rPr>
        <w:t>atively higher in capital and R</w:t>
      </w:r>
      <w:r w:rsidR="002859D8" w:rsidRPr="00B54BC7">
        <w:rPr>
          <w:rFonts w:asciiTheme="minorHAnsi" w:hAnsiTheme="minorHAnsi" w:cs="Courier New"/>
          <w:sz w:val="22"/>
          <w:szCs w:val="22"/>
        </w:rPr>
        <w:t>&amp;D intensive industries. Controlling for FDI inflows by industry would likely give more meaningful results with regards to the importance of preferential trade agre</w:t>
      </w:r>
      <w:r w:rsidR="002859D8" w:rsidRPr="00B54BC7">
        <w:rPr>
          <w:rFonts w:asciiTheme="minorHAnsi" w:hAnsiTheme="minorHAnsi" w:cs="Courier New"/>
          <w:sz w:val="22"/>
          <w:szCs w:val="22"/>
        </w:rPr>
        <w:t>e</w:t>
      </w:r>
      <w:r w:rsidR="002859D8" w:rsidRPr="00B54BC7">
        <w:rPr>
          <w:rFonts w:asciiTheme="minorHAnsi" w:hAnsiTheme="minorHAnsi" w:cs="Courier New"/>
          <w:sz w:val="22"/>
          <w:szCs w:val="22"/>
        </w:rPr>
        <w:t xml:space="preserve">ments. </w:t>
      </w:r>
      <w:r w:rsidR="0004136B">
        <w:rPr>
          <w:rFonts w:asciiTheme="minorHAnsi" w:hAnsiTheme="minorHAnsi" w:cs="Courier New"/>
          <w:sz w:val="22"/>
          <w:szCs w:val="22"/>
        </w:rPr>
        <w:t>B</w:t>
      </w:r>
      <w:r w:rsidR="002859D8" w:rsidRPr="00B54BC7">
        <w:rPr>
          <w:rFonts w:asciiTheme="minorHAnsi" w:hAnsiTheme="minorHAnsi" w:cs="Courier New"/>
          <w:sz w:val="22"/>
          <w:szCs w:val="22"/>
        </w:rPr>
        <w:t>eing able to further differentiate between various industries would give a much better idea how susceptible a particular country's FDI is to ISDS provisions, given its relative reliance on some i</w:t>
      </w:r>
      <w:r w:rsidR="002859D8" w:rsidRPr="00B54BC7">
        <w:rPr>
          <w:rFonts w:asciiTheme="minorHAnsi" w:hAnsiTheme="minorHAnsi" w:cs="Courier New"/>
          <w:sz w:val="22"/>
          <w:szCs w:val="22"/>
        </w:rPr>
        <w:t>n</w:t>
      </w:r>
      <w:r w:rsidR="002859D8" w:rsidRPr="00B54BC7">
        <w:rPr>
          <w:rFonts w:asciiTheme="minorHAnsi" w:hAnsiTheme="minorHAnsi" w:cs="Courier New"/>
          <w:sz w:val="22"/>
          <w:szCs w:val="22"/>
        </w:rPr>
        <w:t>dustries over others (Antr</w:t>
      </w:r>
      <w:r w:rsidR="002859D8">
        <w:rPr>
          <w:rFonts w:asciiTheme="minorHAnsi" w:hAnsiTheme="minorHAnsi" w:cs="Courier New"/>
          <w:sz w:val="22"/>
          <w:szCs w:val="22"/>
        </w:rPr>
        <w:t>à</w:t>
      </w:r>
      <w:r w:rsidR="002859D8" w:rsidRPr="00B54BC7">
        <w:rPr>
          <w:rFonts w:asciiTheme="minorHAnsi" w:hAnsiTheme="minorHAnsi" w:cs="Courier New"/>
          <w:sz w:val="22"/>
          <w:szCs w:val="22"/>
        </w:rPr>
        <w:t>s and Helpman, 2008).</w:t>
      </w:r>
    </w:p>
    <w:p w:rsidR="00CC400F" w:rsidRDefault="002859D8" w:rsidP="0004136B">
      <w:pPr>
        <w:pStyle w:val="PlainText"/>
        <w:spacing w:line="360" w:lineRule="auto"/>
        <w:jc w:val="both"/>
        <w:rPr>
          <w:rFonts w:asciiTheme="minorHAnsi" w:hAnsiTheme="minorHAnsi" w:cs="Courier New"/>
          <w:sz w:val="22"/>
          <w:szCs w:val="22"/>
        </w:rPr>
      </w:pPr>
      <w:r>
        <w:rPr>
          <w:rFonts w:asciiTheme="minorHAnsi" w:hAnsiTheme="minorHAnsi" w:cs="Courier New"/>
          <w:sz w:val="22"/>
          <w:szCs w:val="22"/>
        </w:rPr>
        <w:t xml:space="preserve">As a robustness test, the model is adapted to include country-year fixed effects. </w:t>
      </w:r>
      <w:r w:rsidR="0004136B">
        <w:rPr>
          <w:rFonts w:asciiTheme="minorHAnsi" w:hAnsiTheme="minorHAnsi" w:cs="Courier New"/>
          <w:sz w:val="22"/>
          <w:szCs w:val="22"/>
        </w:rPr>
        <w:t>C</w:t>
      </w:r>
      <w:r>
        <w:rPr>
          <w:rFonts w:asciiTheme="minorHAnsi" w:hAnsiTheme="minorHAnsi" w:cs="Courier New"/>
          <w:sz w:val="22"/>
          <w:szCs w:val="22"/>
        </w:rPr>
        <w:t>ountry and time i</w:t>
      </w:r>
      <w:r>
        <w:rPr>
          <w:rFonts w:asciiTheme="minorHAnsi" w:hAnsiTheme="minorHAnsi" w:cs="Courier New"/>
          <w:sz w:val="22"/>
          <w:szCs w:val="22"/>
        </w:rPr>
        <w:t>n</w:t>
      </w:r>
      <w:r>
        <w:rPr>
          <w:rFonts w:asciiTheme="minorHAnsi" w:hAnsiTheme="minorHAnsi" w:cs="Courier New"/>
          <w:sz w:val="22"/>
          <w:szCs w:val="22"/>
        </w:rPr>
        <w:t>variant variables are dropped from the</w:t>
      </w:r>
      <w:r w:rsidR="00296501">
        <w:rPr>
          <w:rFonts w:asciiTheme="minorHAnsi" w:hAnsiTheme="minorHAnsi" w:cs="Courier New"/>
          <w:sz w:val="22"/>
          <w:szCs w:val="22"/>
        </w:rPr>
        <w:t xml:space="preserve"> model, notably GDP as well as P</w:t>
      </w:r>
      <w:r>
        <w:rPr>
          <w:rFonts w:asciiTheme="minorHAnsi" w:hAnsiTheme="minorHAnsi" w:cs="Courier New"/>
          <w:sz w:val="22"/>
          <w:szCs w:val="22"/>
        </w:rPr>
        <w:t xml:space="preserve">olity scores. However, </w:t>
      </w:r>
      <w:r w:rsidR="0004136B">
        <w:rPr>
          <w:rFonts w:asciiTheme="minorHAnsi" w:hAnsiTheme="minorHAnsi" w:cs="Courier New"/>
          <w:sz w:val="22"/>
          <w:szCs w:val="22"/>
        </w:rPr>
        <w:t xml:space="preserve">country –year </w:t>
      </w:r>
      <w:r>
        <w:rPr>
          <w:rFonts w:asciiTheme="minorHAnsi" w:hAnsiTheme="minorHAnsi" w:cs="Courier New"/>
          <w:sz w:val="22"/>
          <w:szCs w:val="22"/>
        </w:rPr>
        <w:t xml:space="preserve">fixed effects </w:t>
      </w:r>
      <w:r w:rsidR="0004136B">
        <w:rPr>
          <w:rFonts w:asciiTheme="minorHAnsi" w:hAnsiTheme="minorHAnsi" w:cs="Courier New"/>
          <w:sz w:val="22"/>
          <w:szCs w:val="22"/>
        </w:rPr>
        <w:t xml:space="preserve">may </w:t>
      </w:r>
      <w:r>
        <w:rPr>
          <w:rFonts w:asciiTheme="minorHAnsi" w:hAnsiTheme="minorHAnsi" w:cs="Courier New"/>
          <w:sz w:val="22"/>
          <w:szCs w:val="22"/>
        </w:rPr>
        <w:t xml:space="preserve">address </w:t>
      </w:r>
      <w:r w:rsidR="0004136B">
        <w:rPr>
          <w:rFonts w:asciiTheme="minorHAnsi" w:hAnsiTheme="minorHAnsi" w:cs="Courier New"/>
          <w:sz w:val="22"/>
          <w:szCs w:val="22"/>
        </w:rPr>
        <w:t xml:space="preserve">some of </w:t>
      </w:r>
      <w:r>
        <w:rPr>
          <w:rFonts w:asciiTheme="minorHAnsi" w:hAnsiTheme="minorHAnsi" w:cs="Courier New"/>
          <w:sz w:val="22"/>
          <w:szCs w:val="22"/>
        </w:rPr>
        <w:t>the heterogeneity in previous calculations, for example from exchange rate fluctuations or economic crises</w:t>
      </w:r>
      <w:r w:rsidR="0004136B">
        <w:rPr>
          <w:rFonts w:asciiTheme="minorHAnsi" w:hAnsiTheme="minorHAnsi" w:cs="Courier New"/>
          <w:sz w:val="22"/>
          <w:szCs w:val="22"/>
        </w:rPr>
        <w:t xml:space="preserve">. </w:t>
      </w:r>
      <w:r>
        <w:rPr>
          <w:rFonts w:asciiTheme="minorHAnsi" w:hAnsiTheme="minorHAnsi" w:cs="Courier New"/>
          <w:sz w:val="22"/>
          <w:szCs w:val="22"/>
        </w:rPr>
        <w:t xml:space="preserve">These results are </w:t>
      </w:r>
      <w:r w:rsidR="0004136B">
        <w:rPr>
          <w:rFonts w:asciiTheme="minorHAnsi" w:hAnsiTheme="minorHAnsi" w:cs="Courier New"/>
          <w:sz w:val="22"/>
          <w:szCs w:val="22"/>
        </w:rPr>
        <w:t xml:space="preserve">shown </w:t>
      </w:r>
      <w:r>
        <w:rPr>
          <w:rFonts w:asciiTheme="minorHAnsi" w:hAnsiTheme="minorHAnsi" w:cs="Courier New"/>
          <w:sz w:val="22"/>
          <w:szCs w:val="22"/>
        </w:rPr>
        <w:t xml:space="preserve">in </w:t>
      </w:r>
      <w:r w:rsidR="0004136B">
        <w:rPr>
          <w:rFonts w:asciiTheme="minorHAnsi" w:hAnsiTheme="minorHAnsi" w:cs="Courier New"/>
          <w:sz w:val="22"/>
          <w:szCs w:val="22"/>
        </w:rPr>
        <w:t>t</w:t>
      </w:r>
      <w:r>
        <w:rPr>
          <w:rFonts w:asciiTheme="minorHAnsi" w:hAnsiTheme="minorHAnsi" w:cs="Courier New"/>
          <w:sz w:val="22"/>
          <w:szCs w:val="22"/>
        </w:rPr>
        <w:t>able 4</w:t>
      </w:r>
      <w:r w:rsidR="0004136B">
        <w:rPr>
          <w:rFonts w:asciiTheme="minorHAnsi" w:hAnsiTheme="minorHAnsi" w:cs="Courier New"/>
          <w:sz w:val="22"/>
          <w:szCs w:val="22"/>
        </w:rPr>
        <w:t>. The statistical and economic significance of including all ISDS investor protection provisions on FDI inflows remains. Ho</w:t>
      </w:r>
      <w:r w:rsidR="0004136B">
        <w:rPr>
          <w:rFonts w:asciiTheme="minorHAnsi" w:hAnsiTheme="minorHAnsi" w:cs="Courier New"/>
          <w:sz w:val="22"/>
          <w:szCs w:val="22"/>
        </w:rPr>
        <w:t>w</w:t>
      </w:r>
      <w:r w:rsidR="00CC400F">
        <w:rPr>
          <w:rFonts w:asciiTheme="minorHAnsi" w:hAnsiTheme="minorHAnsi" w:cs="Courier New"/>
          <w:sz w:val="22"/>
          <w:szCs w:val="22"/>
        </w:rPr>
        <w:t>ever, the estimate</w:t>
      </w:r>
      <w:r w:rsidR="00296501">
        <w:rPr>
          <w:rFonts w:asciiTheme="minorHAnsi" w:hAnsiTheme="minorHAnsi" w:cs="Courier New"/>
          <w:sz w:val="22"/>
          <w:szCs w:val="22"/>
        </w:rPr>
        <w:t>s</w:t>
      </w:r>
      <w:r w:rsidR="00CC400F">
        <w:rPr>
          <w:rFonts w:asciiTheme="minorHAnsi" w:hAnsiTheme="minorHAnsi" w:cs="Courier New"/>
          <w:sz w:val="22"/>
          <w:szCs w:val="22"/>
        </w:rPr>
        <w:t xml:space="preserve"> of weak BITs are no longer statistically significant as influencing FDI inflows. </w:t>
      </w:r>
    </w:p>
    <w:p w:rsidR="00CC400F" w:rsidRDefault="00CC400F" w:rsidP="0004136B">
      <w:pPr>
        <w:pStyle w:val="PlainText"/>
        <w:spacing w:line="360" w:lineRule="auto"/>
        <w:jc w:val="both"/>
        <w:rPr>
          <w:rFonts w:asciiTheme="minorHAnsi" w:hAnsiTheme="minorHAnsi" w:cs="Courier New"/>
          <w:sz w:val="22"/>
          <w:szCs w:val="22"/>
        </w:rPr>
      </w:pPr>
    </w:p>
    <w:p w:rsidR="00CC400F" w:rsidRDefault="00CC400F" w:rsidP="008425C8">
      <w:pPr>
        <w:pStyle w:val="PlainText"/>
        <w:spacing w:line="360" w:lineRule="auto"/>
        <w:jc w:val="both"/>
        <w:rPr>
          <w:rFonts w:asciiTheme="minorHAnsi" w:hAnsiTheme="minorHAnsi" w:cs="Courier New"/>
          <w:sz w:val="22"/>
          <w:szCs w:val="22"/>
        </w:rPr>
      </w:pPr>
    </w:p>
    <w:p w:rsidR="00CC400F" w:rsidRDefault="00CC400F" w:rsidP="008425C8">
      <w:pPr>
        <w:pStyle w:val="PlainText"/>
        <w:spacing w:line="360" w:lineRule="auto"/>
        <w:jc w:val="both"/>
        <w:rPr>
          <w:rFonts w:asciiTheme="minorHAnsi" w:hAnsiTheme="minorHAnsi" w:cs="Courier New"/>
          <w:sz w:val="22"/>
          <w:szCs w:val="22"/>
        </w:rPr>
      </w:pPr>
    </w:p>
    <w:p w:rsidR="00CC400F" w:rsidRDefault="00CC400F" w:rsidP="008425C8">
      <w:pPr>
        <w:pStyle w:val="PlainText"/>
        <w:spacing w:line="360" w:lineRule="auto"/>
        <w:jc w:val="both"/>
        <w:rPr>
          <w:rFonts w:asciiTheme="minorHAnsi" w:hAnsiTheme="minorHAnsi" w:cs="Courier New"/>
          <w:sz w:val="22"/>
          <w:szCs w:val="22"/>
        </w:rPr>
      </w:pPr>
    </w:p>
    <w:p w:rsidR="004D4EB5" w:rsidRDefault="004D4EB5" w:rsidP="008425C8">
      <w:pPr>
        <w:pStyle w:val="PlainText"/>
        <w:spacing w:line="360" w:lineRule="auto"/>
        <w:jc w:val="both"/>
        <w:rPr>
          <w:rFonts w:asciiTheme="minorHAnsi" w:hAnsiTheme="minorHAnsi" w:cs="Courier New"/>
          <w:sz w:val="22"/>
          <w:szCs w:val="22"/>
        </w:rPr>
      </w:pPr>
    </w:p>
    <w:p w:rsidR="004D4EB5" w:rsidRDefault="004D4EB5" w:rsidP="008425C8">
      <w:pPr>
        <w:pStyle w:val="PlainText"/>
        <w:spacing w:line="360" w:lineRule="auto"/>
        <w:jc w:val="both"/>
        <w:rPr>
          <w:rFonts w:asciiTheme="minorHAnsi" w:hAnsiTheme="minorHAnsi" w:cs="Courier New"/>
          <w:sz w:val="22"/>
          <w:szCs w:val="22"/>
        </w:rPr>
      </w:pPr>
    </w:p>
    <w:p w:rsidR="004D4EB5" w:rsidRDefault="004D4EB5" w:rsidP="008425C8">
      <w:pPr>
        <w:pStyle w:val="PlainText"/>
        <w:spacing w:line="360" w:lineRule="auto"/>
        <w:jc w:val="both"/>
        <w:rPr>
          <w:rFonts w:asciiTheme="minorHAnsi" w:hAnsiTheme="minorHAnsi" w:cs="Courier New"/>
          <w:sz w:val="22"/>
          <w:szCs w:val="22"/>
        </w:rPr>
      </w:pPr>
    </w:p>
    <w:p w:rsidR="004D4EB5" w:rsidRDefault="004D4EB5" w:rsidP="008425C8">
      <w:pPr>
        <w:pStyle w:val="PlainText"/>
        <w:spacing w:line="360" w:lineRule="auto"/>
        <w:jc w:val="both"/>
        <w:rPr>
          <w:rFonts w:asciiTheme="minorHAnsi" w:hAnsiTheme="minorHAnsi" w:cs="Courier New"/>
          <w:sz w:val="22"/>
          <w:szCs w:val="22"/>
        </w:rPr>
      </w:pPr>
    </w:p>
    <w:p w:rsidR="002859D8" w:rsidRDefault="002859D8" w:rsidP="008425C8">
      <w:pPr>
        <w:pStyle w:val="PlainText"/>
        <w:spacing w:line="360" w:lineRule="auto"/>
        <w:jc w:val="both"/>
        <w:rPr>
          <w:rFonts w:asciiTheme="minorHAnsi" w:hAnsiTheme="minorHAnsi" w:cs="Courier New"/>
          <w:sz w:val="22"/>
          <w:szCs w:val="22"/>
        </w:rPr>
      </w:pPr>
      <w:r>
        <w:rPr>
          <w:rFonts w:asciiTheme="minorHAnsi" w:hAnsiTheme="minorHAnsi" w:cs="Courier New"/>
          <w:sz w:val="22"/>
          <w:szCs w:val="22"/>
        </w:rPr>
        <w:t xml:space="preserve"> </w:t>
      </w:r>
    </w:p>
    <w:tbl>
      <w:tblPr>
        <w:tblW w:w="9398" w:type="dxa"/>
        <w:jc w:val="center"/>
        <w:tblInd w:w="93" w:type="dxa"/>
        <w:tblLook w:val="04A0" w:firstRow="1" w:lastRow="0" w:firstColumn="1" w:lastColumn="0" w:noHBand="0" w:noVBand="1"/>
      </w:tblPr>
      <w:tblGrid>
        <w:gridCol w:w="4220"/>
        <w:gridCol w:w="1628"/>
        <w:gridCol w:w="1754"/>
        <w:gridCol w:w="1796"/>
      </w:tblGrid>
      <w:tr w:rsidR="002859D8" w:rsidRPr="00902E03" w:rsidTr="00B05451">
        <w:trPr>
          <w:trHeight w:val="225"/>
          <w:jc w:val="center"/>
        </w:trPr>
        <w:tc>
          <w:tcPr>
            <w:tcW w:w="0" w:type="auto"/>
            <w:gridSpan w:val="4"/>
            <w:tcBorders>
              <w:top w:val="nil"/>
              <w:left w:val="nil"/>
              <w:bottom w:val="nil"/>
              <w:right w:val="nil"/>
            </w:tcBorders>
            <w:shd w:val="clear" w:color="000000" w:fill="F2DCDB"/>
            <w:vAlign w:val="bottom"/>
            <w:hideMark/>
          </w:tcPr>
          <w:p w:rsidR="002859D8" w:rsidRPr="00902E03" w:rsidRDefault="002859D8" w:rsidP="00B05451">
            <w:pPr>
              <w:spacing w:after="0" w:line="240" w:lineRule="auto"/>
              <w:rPr>
                <w:rFonts w:ascii="Gill Sans MT" w:eastAsia="Times New Roman" w:hAnsi="Gill Sans MT" w:cs="Times New Roman"/>
                <w:color w:val="953735"/>
                <w:sz w:val="24"/>
                <w:szCs w:val="24"/>
                <w:lang w:eastAsia="en-GB"/>
              </w:rPr>
            </w:pPr>
            <w:r>
              <w:rPr>
                <w:rFonts w:ascii="Gill Sans MT" w:eastAsia="Times New Roman" w:hAnsi="Gill Sans MT" w:cs="Times New Roman"/>
                <w:color w:val="953735"/>
                <w:sz w:val="24"/>
                <w:szCs w:val="24"/>
                <w:lang w:eastAsia="en-GB"/>
              </w:rPr>
              <w:lastRenderedPageBreak/>
              <w:t>Table 4</w:t>
            </w:r>
            <w:r w:rsidRPr="00902E03">
              <w:rPr>
                <w:rFonts w:ascii="Gill Sans MT" w:eastAsia="Times New Roman" w:hAnsi="Gill Sans MT" w:cs="Times New Roman"/>
                <w:color w:val="953735"/>
                <w:sz w:val="24"/>
                <w:szCs w:val="24"/>
                <w:lang w:eastAsia="en-GB"/>
              </w:rPr>
              <w:t xml:space="preserve">. PPML Estimation for the Effect of BITs on FDI in OECD Countries with Country-Year </w:t>
            </w:r>
            <w:r>
              <w:rPr>
                <w:rFonts w:ascii="Gill Sans MT" w:eastAsia="Times New Roman" w:hAnsi="Gill Sans MT" w:cs="Times New Roman"/>
                <w:color w:val="953735"/>
                <w:sz w:val="24"/>
                <w:szCs w:val="24"/>
                <w:lang w:eastAsia="en-GB"/>
              </w:rPr>
              <w:t>FE</w:t>
            </w:r>
          </w:p>
        </w:tc>
      </w:tr>
      <w:tr w:rsidR="002859D8" w:rsidRPr="00902E03" w:rsidTr="00B05451">
        <w:trPr>
          <w:trHeight w:val="217"/>
          <w:jc w:val="center"/>
        </w:trPr>
        <w:tc>
          <w:tcPr>
            <w:tcW w:w="0" w:type="auto"/>
            <w:vMerge w:val="restart"/>
            <w:tcBorders>
              <w:top w:val="nil"/>
              <w:left w:val="nil"/>
              <w:bottom w:val="nil"/>
              <w:right w:val="nil"/>
            </w:tcBorders>
            <w:shd w:val="clear" w:color="auto" w:fill="auto"/>
            <w:noWrap/>
            <w:vAlign w:val="center"/>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Independent Variables:</w:t>
            </w:r>
          </w:p>
        </w:tc>
        <w:tc>
          <w:tcPr>
            <w:tcW w:w="0" w:type="auto"/>
            <w:gridSpan w:val="3"/>
            <w:tcBorders>
              <w:top w:val="nil"/>
              <w:left w:val="nil"/>
              <w:bottom w:val="nil"/>
              <w:right w:val="nil"/>
            </w:tcBorders>
            <w:shd w:val="clear" w:color="auto" w:fill="auto"/>
            <w:noWrap/>
            <w:vAlign w:val="center"/>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Dependent Variable: FDI</w:t>
            </w:r>
            <w:r w:rsidRPr="00902E03">
              <w:rPr>
                <w:rFonts w:ascii="Gill Sans MT" w:eastAsia="Times New Roman" w:hAnsi="Gill Sans MT" w:cs="Times New Roman"/>
                <w:color w:val="000000"/>
                <w:vertAlign w:val="subscript"/>
                <w:lang w:eastAsia="en-GB"/>
              </w:rPr>
              <w:t>ijt</w:t>
            </w:r>
          </w:p>
        </w:tc>
      </w:tr>
      <w:tr w:rsidR="002859D8" w:rsidRPr="00902E03" w:rsidTr="00B05451">
        <w:trPr>
          <w:trHeight w:val="208"/>
          <w:jc w:val="center"/>
        </w:trPr>
        <w:tc>
          <w:tcPr>
            <w:tcW w:w="0" w:type="auto"/>
            <w:vMerge/>
            <w:tcBorders>
              <w:top w:val="nil"/>
              <w:left w:val="nil"/>
              <w:bottom w:val="single" w:sz="8" w:space="0" w:color="C00000"/>
              <w:right w:val="nil"/>
            </w:tcBorders>
            <w:vAlign w:val="center"/>
            <w:hideMark/>
          </w:tcPr>
          <w:p w:rsidR="002859D8" w:rsidRPr="00902E03" w:rsidRDefault="002859D8" w:rsidP="00B05451">
            <w:pPr>
              <w:spacing w:after="0" w:line="240" w:lineRule="auto"/>
              <w:rPr>
                <w:rFonts w:ascii="Gill Sans MT" w:eastAsia="Times New Roman" w:hAnsi="Gill Sans MT" w:cs="Times New Roman"/>
                <w:color w:val="000000"/>
                <w:lang w:eastAsia="en-GB"/>
              </w:rPr>
            </w:pPr>
          </w:p>
        </w:tc>
        <w:tc>
          <w:tcPr>
            <w:tcW w:w="0" w:type="auto"/>
            <w:tcBorders>
              <w:top w:val="nil"/>
              <w:left w:val="nil"/>
              <w:bottom w:val="single" w:sz="8" w:space="0" w:color="C00000"/>
              <w:right w:val="nil"/>
            </w:tcBorders>
            <w:shd w:val="clear" w:color="auto" w:fill="auto"/>
            <w:noWrap/>
            <w:vAlign w:val="center"/>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(1)</w:t>
            </w:r>
          </w:p>
        </w:tc>
        <w:tc>
          <w:tcPr>
            <w:tcW w:w="0" w:type="auto"/>
            <w:tcBorders>
              <w:top w:val="nil"/>
              <w:left w:val="nil"/>
              <w:bottom w:val="single" w:sz="8" w:space="0" w:color="C00000"/>
              <w:right w:val="nil"/>
            </w:tcBorders>
            <w:shd w:val="clear" w:color="auto" w:fill="auto"/>
            <w:noWrap/>
            <w:vAlign w:val="center"/>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(2)</w:t>
            </w:r>
          </w:p>
        </w:tc>
        <w:tc>
          <w:tcPr>
            <w:tcW w:w="0" w:type="auto"/>
            <w:tcBorders>
              <w:top w:val="nil"/>
              <w:left w:val="nil"/>
              <w:bottom w:val="single" w:sz="8" w:space="0" w:color="C00000"/>
              <w:right w:val="nil"/>
            </w:tcBorders>
            <w:shd w:val="clear" w:color="auto" w:fill="auto"/>
            <w:noWrap/>
            <w:vAlign w:val="center"/>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(3)</w:t>
            </w:r>
          </w:p>
        </w:tc>
      </w:tr>
      <w:tr w:rsidR="002859D8" w:rsidRPr="00902E03" w:rsidTr="00B05451">
        <w:trPr>
          <w:trHeight w:val="174"/>
          <w:jc w:val="center"/>
        </w:trPr>
        <w:tc>
          <w:tcPr>
            <w:tcW w:w="0" w:type="auto"/>
            <w:vMerge w:val="restart"/>
            <w:tcBorders>
              <w:top w:val="single" w:sz="8" w:space="0" w:color="C00000"/>
              <w:left w:val="nil"/>
              <w:bottom w:val="nil"/>
              <w:right w:val="nil"/>
            </w:tcBorders>
            <w:shd w:val="clear" w:color="auto" w:fill="auto"/>
            <w:noWrap/>
            <w:vAlign w:val="center"/>
            <w:hideMark/>
          </w:tcPr>
          <w:p w:rsidR="002859D8" w:rsidRPr="00902E03" w:rsidRDefault="002859D8" w:rsidP="00B05451">
            <w:pPr>
              <w:spacing w:after="0" w:line="240" w:lineRule="auto"/>
              <w:rPr>
                <w:rFonts w:ascii="Gill Sans MT" w:eastAsia="Times New Roman" w:hAnsi="Gill Sans MT" w:cs="Times New Roman"/>
                <w:i/>
                <w:iCs/>
                <w:color w:val="000000"/>
                <w:lang w:eastAsia="en-GB"/>
              </w:rPr>
            </w:pPr>
            <w:r w:rsidRPr="00902E03">
              <w:rPr>
                <w:rFonts w:ascii="Gill Sans MT" w:eastAsia="Times New Roman" w:hAnsi="Gill Sans MT" w:cs="Times New Roman"/>
                <w:i/>
                <w:iCs/>
                <w:color w:val="000000"/>
                <w:lang w:eastAsia="en-GB"/>
              </w:rPr>
              <w:t>BIT</w:t>
            </w:r>
            <w:r w:rsidRPr="00902E03">
              <w:rPr>
                <w:rFonts w:ascii="Gill Sans MT" w:eastAsia="Times New Roman" w:hAnsi="Gill Sans MT" w:cs="Times New Roman"/>
                <w:i/>
                <w:iCs/>
                <w:color w:val="000000"/>
                <w:vertAlign w:val="subscript"/>
                <w:lang w:eastAsia="en-GB"/>
              </w:rPr>
              <w:t>ijt</w:t>
            </w:r>
          </w:p>
        </w:tc>
        <w:tc>
          <w:tcPr>
            <w:tcW w:w="0" w:type="auto"/>
            <w:tcBorders>
              <w:top w:val="single" w:sz="8" w:space="0" w:color="C00000"/>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0.312</w:t>
            </w:r>
          </w:p>
        </w:tc>
        <w:tc>
          <w:tcPr>
            <w:tcW w:w="0" w:type="auto"/>
            <w:tcBorders>
              <w:top w:val="single" w:sz="8" w:space="0" w:color="C00000"/>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-0.211</w:t>
            </w:r>
          </w:p>
        </w:tc>
        <w:tc>
          <w:tcPr>
            <w:tcW w:w="0" w:type="auto"/>
            <w:tcBorders>
              <w:top w:val="single" w:sz="8" w:space="0" w:color="C00000"/>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-0.163</w:t>
            </w:r>
          </w:p>
        </w:tc>
      </w:tr>
      <w:tr w:rsidR="002859D8" w:rsidRPr="00902E03" w:rsidTr="00B05451">
        <w:trPr>
          <w:trHeight w:val="174"/>
          <w:jc w:val="center"/>
        </w:trPr>
        <w:tc>
          <w:tcPr>
            <w:tcW w:w="0" w:type="auto"/>
            <w:vMerge/>
            <w:tcBorders>
              <w:top w:val="nil"/>
              <w:left w:val="nil"/>
              <w:bottom w:val="nil"/>
              <w:right w:val="nil"/>
            </w:tcBorders>
            <w:vAlign w:val="center"/>
            <w:hideMark/>
          </w:tcPr>
          <w:p w:rsidR="002859D8" w:rsidRPr="00902E03" w:rsidRDefault="002859D8" w:rsidP="00B05451">
            <w:pPr>
              <w:spacing w:after="0" w:line="240" w:lineRule="auto"/>
              <w:rPr>
                <w:rFonts w:ascii="Gill Sans MT" w:eastAsia="Times New Roman" w:hAnsi="Gill Sans MT"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(1.085)</w:t>
            </w: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(1.185)</w:t>
            </w: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(1.202)</w:t>
            </w:r>
          </w:p>
        </w:tc>
      </w:tr>
      <w:tr w:rsidR="002859D8" w:rsidRPr="00902E03" w:rsidTr="00B05451">
        <w:trPr>
          <w:trHeight w:val="174"/>
          <w:jc w:val="center"/>
        </w:trPr>
        <w:tc>
          <w:tcPr>
            <w:tcW w:w="0" w:type="auto"/>
            <w:vMerge w:val="restart"/>
            <w:tcBorders>
              <w:top w:val="nil"/>
              <w:left w:val="nil"/>
              <w:bottom w:val="nil"/>
              <w:right w:val="nil"/>
            </w:tcBorders>
            <w:shd w:val="clear" w:color="auto" w:fill="auto"/>
            <w:noWrap/>
            <w:vAlign w:val="center"/>
            <w:hideMark/>
          </w:tcPr>
          <w:p w:rsidR="002859D8" w:rsidRPr="00902E03" w:rsidRDefault="002859D8" w:rsidP="00B05451">
            <w:pPr>
              <w:spacing w:after="0" w:line="240" w:lineRule="auto"/>
              <w:rPr>
                <w:rFonts w:ascii="Gill Sans MT" w:eastAsia="Times New Roman" w:hAnsi="Gill Sans MT" w:cs="Times New Roman"/>
                <w:i/>
                <w:iCs/>
                <w:color w:val="000000"/>
                <w:lang w:eastAsia="en-GB"/>
              </w:rPr>
            </w:pPr>
            <w:r w:rsidRPr="00902E03">
              <w:rPr>
                <w:rFonts w:ascii="Gill Sans MT" w:eastAsia="Times New Roman" w:hAnsi="Gill Sans MT" w:cs="Times New Roman"/>
                <w:i/>
                <w:iCs/>
                <w:color w:val="000000"/>
                <w:lang w:eastAsia="en-GB"/>
              </w:rPr>
              <w:t>ISDS_Pre</w:t>
            </w:r>
            <w:r w:rsidRPr="00902E03">
              <w:rPr>
                <w:rFonts w:ascii="Gill Sans MT" w:eastAsia="Times New Roman" w:hAnsi="Gill Sans MT" w:cs="Times New Roman"/>
                <w:i/>
                <w:iCs/>
                <w:color w:val="000000"/>
                <w:vertAlign w:val="subscript"/>
                <w:lang w:eastAsia="en-GB"/>
              </w:rPr>
              <w:t>ijt</w:t>
            </w: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-0.257</w:t>
            </w: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0.397</w:t>
            </w: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0.410</w:t>
            </w:r>
          </w:p>
        </w:tc>
      </w:tr>
      <w:tr w:rsidR="002859D8" w:rsidRPr="00902E03" w:rsidTr="00B05451">
        <w:trPr>
          <w:trHeight w:val="174"/>
          <w:jc w:val="center"/>
        </w:trPr>
        <w:tc>
          <w:tcPr>
            <w:tcW w:w="0" w:type="auto"/>
            <w:vMerge/>
            <w:tcBorders>
              <w:top w:val="nil"/>
              <w:left w:val="nil"/>
              <w:bottom w:val="nil"/>
              <w:right w:val="nil"/>
            </w:tcBorders>
            <w:vAlign w:val="center"/>
            <w:hideMark/>
          </w:tcPr>
          <w:p w:rsidR="002859D8" w:rsidRPr="00902E03" w:rsidRDefault="002859D8" w:rsidP="00B05451">
            <w:pPr>
              <w:spacing w:after="0" w:line="240" w:lineRule="auto"/>
              <w:rPr>
                <w:rFonts w:ascii="Gill Sans MT" w:eastAsia="Times New Roman" w:hAnsi="Gill Sans MT"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(1.071)</w:t>
            </w: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(1.173)</w:t>
            </w: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(1.190)</w:t>
            </w:r>
          </w:p>
        </w:tc>
      </w:tr>
      <w:tr w:rsidR="002859D8" w:rsidRPr="00902E03" w:rsidTr="00B05451">
        <w:trPr>
          <w:trHeight w:val="174"/>
          <w:jc w:val="center"/>
        </w:trPr>
        <w:tc>
          <w:tcPr>
            <w:tcW w:w="0" w:type="auto"/>
            <w:vMerge w:val="restart"/>
            <w:tcBorders>
              <w:top w:val="nil"/>
              <w:left w:val="nil"/>
              <w:bottom w:val="nil"/>
              <w:right w:val="nil"/>
            </w:tcBorders>
            <w:shd w:val="clear" w:color="auto" w:fill="auto"/>
            <w:noWrap/>
            <w:vAlign w:val="center"/>
            <w:hideMark/>
          </w:tcPr>
          <w:p w:rsidR="002859D8" w:rsidRPr="00902E03" w:rsidRDefault="002859D8" w:rsidP="00B05451">
            <w:pPr>
              <w:spacing w:after="0" w:line="240" w:lineRule="auto"/>
              <w:rPr>
                <w:rFonts w:ascii="Gill Sans MT" w:eastAsia="Times New Roman" w:hAnsi="Gill Sans MT" w:cs="Times New Roman"/>
                <w:i/>
                <w:iCs/>
                <w:color w:val="000000"/>
                <w:lang w:eastAsia="en-GB"/>
              </w:rPr>
            </w:pPr>
            <w:r w:rsidRPr="00902E03">
              <w:rPr>
                <w:rFonts w:ascii="Gill Sans MT" w:eastAsia="Times New Roman" w:hAnsi="Gill Sans MT" w:cs="Times New Roman"/>
                <w:i/>
                <w:iCs/>
                <w:color w:val="000000"/>
                <w:lang w:eastAsia="en-GB"/>
              </w:rPr>
              <w:t>ISDS_Unre</w:t>
            </w:r>
            <w:r w:rsidRPr="00902E03">
              <w:rPr>
                <w:rFonts w:ascii="Gill Sans MT" w:eastAsia="Times New Roman" w:hAnsi="Gill Sans MT" w:cs="Times New Roman"/>
                <w:i/>
                <w:iCs/>
                <w:color w:val="000000"/>
                <w:vertAlign w:val="subscript"/>
                <w:lang w:eastAsia="en-GB"/>
              </w:rPr>
              <w:t>ijt</w:t>
            </w: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-0.310</w:t>
            </w: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-0.492</w:t>
            </w: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-0.532*</w:t>
            </w:r>
          </w:p>
        </w:tc>
      </w:tr>
      <w:tr w:rsidR="002859D8" w:rsidRPr="00902E03" w:rsidTr="00B05451">
        <w:trPr>
          <w:trHeight w:val="174"/>
          <w:jc w:val="center"/>
        </w:trPr>
        <w:tc>
          <w:tcPr>
            <w:tcW w:w="0" w:type="auto"/>
            <w:vMerge/>
            <w:tcBorders>
              <w:top w:val="nil"/>
              <w:left w:val="nil"/>
              <w:bottom w:val="nil"/>
              <w:right w:val="nil"/>
            </w:tcBorders>
            <w:vAlign w:val="center"/>
            <w:hideMark/>
          </w:tcPr>
          <w:p w:rsidR="002859D8" w:rsidRPr="00902E03" w:rsidRDefault="002859D8" w:rsidP="00B05451">
            <w:pPr>
              <w:spacing w:after="0" w:line="240" w:lineRule="auto"/>
              <w:rPr>
                <w:rFonts w:ascii="Gill Sans MT" w:eastAsia="Times New Roman" w:hAnsi="Gill Sans MT"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(0.317)</w:t>
            </w: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(0.322)</w:t>
            </w: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(0.322)</w:t>
            </w:r>
          </w:p>
        </w:tc>
      </w:tr>
      <w:tr w:rsidR="002859D8" w:rsidRPr="00902E03" w:rsidTr="00B05451">
        <w:trPr>
          <w:trHeight w:val="174"/>
          <w:jc w:val="center"/>
        </w:trPr>
        <w:tc>
          <w:tcPr>
            <w:tcW w:w="0" w:type="auto"/>
            <w:vMerge w:val="restart"/>
            <w:tcBorders>
              <w:top w:val="nil"/>
              <w:left w:val="nil"/>
              <w:bottom w:val="nil"/>
              <w:right w:val="nil"/>
            </w:tcBorders>
            <w:shd w:val="clear" w:color="auto" w:fill="auto"/>
            <w:noWrap/>
            <w:vAlign w:val="center"/>
            <w:hideMark/>
          </w:tcPr>
          <w:p w:rsidR="002859D8" w:rsidRPr="00902E03" w:rsidRDefault="002859D8" w:rsidP="00B05451">
            <w:pPr>
              <w:spacing w:after="0" w:line="240" w:lineRule="auto"/>
              <w:rPr>
                <w:rFonts w:ascii="Gill Sans MT" w:eastAsia="Times New Roman" w:hAnsi="Gill Sans MT" w:cs="Times New Roman"/>
                <w:i/>
                <w:iCs/>
                <w:color w:val="000000"/>
                <w:lang w:eastAsia="en-GB"/>
              </w:rPr>
            </w:pPr>
            <w:r w:rsidRPr="00902E03">
              <w:rPr>
                <w:rFonts w:ascii="Gill Sans MT" w:eastAsia="Times New Roman" w:hAnsi="Gill Sans MT" w:cs="Times New Roman"/>
                <w:i/>
                <w:iCs/>
                <w:color w:val="000000"/>
                <w:lang w:eastAsia="en-GB"/>
              </w:rPr>
              <w:t>ISDS_Bin</w:t>
            </w:r>
            <w:r w:rsidRPr="00902E03">
              <w:rPr>
                <w:rFonts w:ascii="Gill Sans MT" w:eastAsia="Times New Roman" w:hAnsi="Gill Sans MT" w:cs="Times New Roman"/>
                <w:i/>
                <w:iCs/>
                <w:color w:val="000000"/>
                <w:vertAlign w:val="subscript"/>
                <w:lang w:eastAsia="en-GB"/>
              </w:rPr>
              <w:t>ijt</w:t>
            </w: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0.0824</w:t>
            </w: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-0.0421</w:t>
            </w: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-0.0830</w:t>
            </w:r>
          </w:p>
        </w:tc>
      </w:tr>
      <w:tr w:rsidR="002859D8" w:rsidRPr="00902E03" w:rsidTr="00B05451">
        <w:trPr>
          <w:trHeight w:val="174"/>
          <w:jc w:val="center"/>
        </w:trPr>
        <w:tc>
          <w:tcPr>
            <w:tcW w:w="0" w:type="auto"/>
            <w:vMerge/>
            <w:tcBorders>
              <w:top w:val="nil"/>
              <w:left w:val="nil"/>
              <w:bottom w:val="nil"/>
              <w:right w:val="nil"/>
            </w:tcBorders>
            <w:vAlign w:val="center"/>
            <w:hideMark/>
          </w:tcPr>
          <w:p w:rsidR="002859D8" w:rsidRPr="00902E03" w:rsidRDefault="002859D8" w:rsidP="00B05451">
            <w:pPr>
              <w:spacing w:after="0" w:line="240" w:lineRule="auto"/>
              <w:rPr>
                <w:rFonts w:ascii="Gill Sans MT" w:eastAsia="Times New Roman" w:hAnsi="Gill Sans MT"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(0.307)</w:t>
            </w: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(0.307)</w:t>
            </w: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(0.302)</w:t>
            </w:r>
          </w:p>
        </w:tc>
      </w:tr>
      <w:tr w:rsidR="002859D8" w:rsidRPr="00902E03" w:rsidTr="00B05451">
        <w:trPr>
          <w:trHeight w:val="174"/>
          <w:jc w:val="center"/>
        </w:trPr>
        <w:tc>
          <w:tcPr>
            <w:tcW w:w="0" w:type="auto"/>
            <w:vMerge w:val="restart"/>
            <w:tcBorders>
              <w:top w:val="nil"/>
              <w:left w:val="nil"/>
              <w:bottom w:val="nil"/>
              <w:right w:val="nil"/>
            </w:tcBorders>
            <w:shd w:val="clear" w:color="auto" w:fill="auto"/>
            <w:noWrap/>
            <w:vAlign w:val="center"/>
            <w:hideMark/>
          </w:tcPr>
          <w:p w:rsidR="002859D8" w:rsidRPr="00902E03" w:rsidRDefault="002859D8" w:rsidP="00B05451">
            <w:pPr>
              <w:spacing w:after="0" w:line="240" w:lineRule="auto"/>
              <w:rPr>
                <w:rFonts w:ascii="Gill Sans MT" w:eastAsia="Times New Roman" w:hAnsi="Gill Sans MT" w:cs="Times New Roman"/>
                <w:i/>
                <w:iCs/>
                <w:color w:val="000000"/>
                <w:lang w:eastAsia="en-GB"/>
              </w:rPr>
            </w:pPr>
            <w:r w:rsidRPr="00902E03">
              <w:rPr>
                <w:rFonts w:ascii="Gill Sans MT" w:eastAsia="Times New Roman" w:hAnsi="Gill Sans MT" w:cs="Times New Roman"/>
                <w:i/>
                <w:iCs/>
                <w:color w:val="000000"/>
                <w:lang w:eastAsia="en-GB"/>
              </w:rPr>
              <w:t>ISDS_Bin</w:t>
            </w:r>
            <w:r w:rsidRPr="00902E03">
              <w:rPr>
                <w:rFonts w:ascii="Gill Sans MT" w:eastAsia="Times New Roman" w:hAnsi="Gill Sans MT" w:cs="Times New Roman"/>
                <w:i/>
                <w:iCs/>
                <w:color w:val="000000"/>
                <w:vertAlign w:val="subscript"/>
                <w:lang w:eastAsia="en-GB"/>
              </w:rPr>
              <w:t>ijt</w:t>
            </w:r>
            <w:r w:rsidRPr="00902E03">
              <w:rPr>
                <w:rFonts w:ascii="Gill Sans MT" w:eastAsia="Times New Roman" w:hAnsi="Gill Sans MT" w:cs="Times New Roman"/>
                <w:i/>
                <w:iCs/>
                <w:color w:val="000000"/>
                <w:lang w:eastAsia="en-GB"/>
              </w:rPr>
              <w:t xml:space="preserve"> * ISDS_Unre</w:t>
            </w:r>
            <w:r w:rsidRPr="00902E03">
              <w:rPr>
                <w:rFonts w:ascii="Gill Sans MT" w:eastAsia="Times New Roman" w:hAnsi="Gill Sans MT" w:cs="Times New Roman"/>
                <w:i/>
                <w:iCs/>
                <w:color w:val="000000"/>
                <w:vertAlign w:val="subscript"/>
                <w:lang w:eastAsia="en-GB"/>
              </w:rPr>
              <w:t>ijt</w:t>
            </w: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0.908</w:t>
            </w: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0.982**</w:t>
            </w: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1.097**</w:t>
            </w:r>
          </w:p>
        </w:tc>
      </w:tr>
      <w:tr w:rsidR="002859D8" w:rsidRPr="00902E03" w:rsidTr="00B05451">
        <w:trPr>
          <w:trHeight w:val="174"/>
          <w:jc w:val="center"/>
        </w:trPr>
        <w:tc>
          <w:tcPr>
            <w:tcW w:w="0" w:type="auto"/>
            <w:vMerge/>
            <w:tcBorders>
              <w:top w:val="nil"/>
              <w:left w:val="nil"/>
              <w:bottom w:val="nil"/>
              <w:right w:val="nil"/>
            </w:tcBorders>
            <w:vAlign w:val="center"/>
            <w:hideMark/>
          </w:tcPr>
          <w:p w:rsidR="002859D8" w:rsidRPr="00902E03" w:rsidRDefault="002859D8" w:rsidP="00B05451">
            <w:pPr>
              <w:spacing w:after="0" w:line="240" w:lineRule="auto"/>
              <w:rPr>
                <w:rFonts w:ascii="Gill Sans MT" w:eastAsia="Times New Roman" w:hAnsi="Gill Sans MT"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(0.571)</w:t>
            </w: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(0.498)</w:t>
            </w: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(0.500)</w:t>
            </w:r>
          </w:p>
        </w:tc>
      </w:tr>
      <w:tr w:rsidR="002859D8" w:rsidRPr="00902E03" w:rsidTr="00B05451">
        <w:trPr>
          <w:trHeight w:val="199"/>
          <w:jc w:val="center"/>
        </w:trPr>
        <w:tc>
          <w:tcPr>
            <w:tcW w:w="0" w:type="auto"/>
            <w:vMerge w:val="restart"/>
            <w:tcBorders>
              <w:top w:val="nil"/>
              <w:left w:val="nil"/>
              <w:bottom w:val="nil"/>
              <w:right w:val="nil"/>
            </w:tcBorders>
            <w:shd w:val="clear" w:color="auto" w:fill="auto"/>
            <w:noWrap/>
            <w:vAlign w:val="center"/>
            <w:hideMark/>
          </w:tcPr>
          <w:p w:rsidR="002859D8" w:rsidRPr="00902E03" w:rsidRDefault="002859D8" w:rsidP="00B05451">
            <w:pPr>
              <w:spacing w:after="0" w:line="240" w:lineRule="auto"/>
              <w:rPr>
                <w:rFonts w:ascii="Gill Sans MT" w:eastAsia="Times New Roman" w:hAnsi="Gill Sans MT" w:cs="Times New Roman"/>
                <w:i/>
                <w:iCs/>
                <w:color w:val="000000"/>
                <w:lang w:eastAsia="en-GB"/>
              </w:rPr>
            </w:pPr>
            <w:r w:rsidRPr="00902E03">
              <w:rPr>
                <w:rFonts w:ascii="Gill Sans MT" w:eastAsia="Times New Roman" w:hAnsi="Gill Sans MT" w:cs="Times New Roman"/>
                <w:i/>
                <w:iCs/>
                <w:color w:val="000000"/>
                <w:lang w:eastAsia="en-GB"/>
              </w:rPr>
              <w:t>ln(X</w:t>
            </w:r>
            <w:r w:rsidRPr="00902E03">
              <w:rPr>
                <w:rFonts w:ascii="Gill Sans MT" w:eastAsia="Times New Roman" w:hAnsi="Gill Sans MT" w:cs="Times New Roman"/>
                <w:i/>
                <w:iCs/>
                <w:color w:val="000000"/>
                <w:vertAlign w:val="subscript"/>
                <w:lang w:eastAsia="en-GB"/>
              </w:rPr>
              <w:t>ijt</w:t>
            </w:r>
            <w:r w:rsidRPr="00902E03">
              <w:rPr>
                <w:rFonts w:ascii="Gill Sans MT" w:eastAsia="Times New Roman" w:hAnsi="Gill Sans MT" w:cs="Times New Roman"/>
                <w:i/>
                <w:iCs/>
                <w:color w:val="000000"/>
                <w:lang w:eastAsia="en-GB"/>
              </w:rPr>
              <w:t>)</w:t>
            </w: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0.0333</w:t>
            </w: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0.0109</w:t>
            </w:r>
          </w:p>
        </w:tc>
      </w:tr>
      <w:tr w:rsidR="002859D8" w:rsidRPr="00902E03" w:rsidTr="00B05451">
        <w:trPr>
          <w:trHeight w:val="174"/>
          <w:jc w:val="center"/>
        </w:trPr>
        <w:tc>
          <w:tcPr>
            <w:tcW w:w="0" w:type="auto"/>
            <w:vMerge/>
            <w:tcBorders>
              <w:top w:val="nil"/>
              <w:left w:val="nil"/>
              <w:bottom w:val="nil"/>
              <w:right w:val="nil"/>
            </w:tcBorders>
            <w:vAlign w:val="center"/>
            <w:hideMark/>
          </w:tcPr>
          <w:p w:rsidR="002859D8" w:rsidRPr="00902E03" w:rsidRDefault="002859D8" w:rsidP="00B05451">
            <w:pPr>
              <w:spacing w:after="0" w:line="240" w:lineRule="auto"/>
              <w:rPr>
                <w:rFonts w:ascii="Gill Sans MT" w:eastAsia="Times New Roman" w:hAnsi="Gill Sans MT"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(0.0869)</w:t>
            </w: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(0.0865)</w:t>
            </w:r>
          </w:p>
        </w:tc>
      </w:tr>
      <w:tr w:rsidR="002859D8" w:rsidRPr="00902E03" w:rsidTr="00B05451">
        <w:trPr>
          <w:trHeight w:val="199"/>
          <w:jc w:val="center"/>
        </w:trPr>
        <w:tc>
          <w:tcPr>
            <w:tcW w:w="0" w:type="auto"/>
            <w:vMerge w:val="restart"/>
            <w:tcBorders>
              <w:top w:val="nil"/>
              <w:left w:val="nil"/>
              <w:bottom w:val="nil"/>
              <w:right w:val="nil"/>
            </w:tcBorders>
            <w:shd w:val="clear" w:color="auto" w:fill="auto"/>
            <w:noWrap/>
            <w:vAlign w:val="center"/>
            <w:hideMark/>
          </w:tcPr>
          <w:p w:rsidR="002859D8" w:rsidRPr="00902E03" w:rsidRDefault="002859D8" w:rsidP="00B05451">
            <w:pPr>
              <w:spacing w:after="0" w:line="240" w:lineRule="auto"/>
              <w:rPr>
                <w:rFonts w:ascii="Gill Sans MT" w:eastAsia="Times New Roman" w:hAnsi="Gill Sans MT" w:cs="Times New Roman"/>
                <w:i/>
                <w:iCs/>
                <w:color w:val="000000"/>
                <w:lang w:eastAsia="en-GB"/>
              </w:rPr>
            </w:pPr>
            <w:r w:rsidRPr="00902E03">
              <w:rPr>
                <w:rFonts w:ascii="Gill Sans MT" w:eastAsia="Times New Roman" w:hAnsi="Gill Sans MT" w:cs="Times New Roman"/>
                <w:i/>
                <w:iCs/>
                <w:color w:val="000000"/>
                <w:lang w:eastAsia="en-GB"/>
              </w:rPr>
              <w:t>ln(M</w:t>
            </w:r>
            <w:r w:rsidRPr="00902E03">
              <w:rPr>
                <w:rFonts w:ascii="Gill Sans MT" w:eastAsia="Times New Roman" w:hAnsi="Gill Sans MT" w:cs="Times New Roman"/>
                <w:i/>
                <w:iCs/>
                <w:color w:val="000000"/>
                <w:vertAlign w:val="subscript"/>
                <w:lang w:eastAsia="en-GB"/>
              </w:rPr>
              <w:t>ijt</w:t>
            </w:r>
            <w:r w:rsidRPr="00902E03">
              <w:rPr>
                <w:rFonts w:ascii="Gill Sans MT" w:eastAsia="Times New Roman" w:hAnsi="Gill Sans MT" w:cs="Times New Roman"/>
                <w:i/>
                <w:iCs/>
                <w:color w:val="000000"/>
                <w:lang w:eastAsia="en-GB"/>
              </w:rPr>
              <w:t>)</w:t>
            </w: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0.0435</w:t>
            </w: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0.0290</w:t>
            </w:r>
          </w:p>
        </w:tc>
      </w:tr>
      <w:tr w:rsidR="002859D8" w:rsidRPr="00902E03" w:rsidTr="00B05451">
        <w:trPr>
          <w:trHeight w:val="174"/>
          <w:jc w:val="center"/>
        </w:trPr>
        <w:tc>
          <w:tcPr>
            <w:tcW w:w="0" w:type="auto"/>
            <w:vMerge/>
            <w:tcBorders>
              <w:top w:val="nil"/>
              <w:left w:val="nil"/>
              <w:bottom w:val="nil"/>
              <w:right w:val="nil"/>
            </w:tcBorders>
            <w:vAlign w:val="center"/>
            <w:hideMark/>
          </w:tcPr>
          <w:p w:rsidR="002859D8" w:rsidRPr="00902E03" w:rsidRDefault="002859D8" w:rsidP="00B05451">
            <w:pPr>
              <w:spacing w:after="0" w:line="240" w:lineRule="auto"/>
              <w:rPr>
                <w:rFonts w:ascii="Gill Sans MT" w:eastAsia="Times New Roman" w:hAnsi="Gill Sans MT"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(0.110)</w:t>
            </w: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(0.112)</w:t>
            </w:r>
          </w:p>
        </w:tc>
      </w:tr>
      <w:tr w:rsidR="002859D8" w:rsidRPr="00902E03" w:rsidTr="00B05451">
        <w:trPr>
          <w:trHeight w:val="199"/>
          <w:jc w:val="center"/>
        </w:trPr>
        <w:tc>
          <w:tcPr>
            <w:tcW w:w="0" w:type="auto"/>
            <w:vMerge w:val="restart"/>
            <w:tcBorders>
              <w:top w:val="nil"/>
              <w:left w:val="nil"/>
              <w:bottom w:val="nil"/>
              <w:right w:val="nil"/>
            </w:tcBorders>
            <w:shd w:val="clear" w:color="auto" w:fill="auto"/>
            <w:noWrap/>
            <w:vAlign w:val="center"/>
            <w:hideMark/>
          </w:tcPr>
          <w:p w:rsidR="002859D8" w:rsidRPr="00902E03" w:rsidRDefault="002859D8" w:rsidP="00B05451">
            <w:pPr>
              <w:spacing w:after="0" w:line="240" w:lineRule="auto"/>
              <w:rPr>
                <w:rFonts w:ascii="Gill Sans MT" w:eastAsia="Times New Roman" w:hAnsi="Gill Sans MT" w:cs="Times New Roman"/>
                <w:i/>
                <w:iCs/>
                <w:color w:val="000000"/>
                <w:lang w:eastAsia="en-GB"/>
              </w:rPr>
            </w:pPr>
            <w:r w:rsidRPr="00902E03">
              <w:rPr>
                <w:rFonts w:ascii="Gill Sans MT" w:eastAsia="Times New Roman" w:hAnsi="Gill Sans MT" w:cs="Times New Roman"/>
                <w:i/>
                <w:iCs/>
                <w:color w:val="000000"/>
                <w:lang w:eastAsia="en-GB"/>
              </w:rPr>
              <w:t>PTA</w:t>
            </w:r>
            <w:r w:rsidRPr="00902E03">
              <w:rPr>
                <w:rFonts w:ascii="Gill Sans MT" w:eastAsia="Times New Roman" w:hAnsi="Gill Sans MT" w:cs="Times New Roman"/>
                <w:i/>
                <w:iCs/>
                <w:color w:val="000000"/>
                <w:vertAlign w:val="subscript"/>
                <w:lang w:eastAsia="en-GB"/>
              </w:rPr>
              <w:t>ijt</w:t>
            </w: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-0.241</w:t>
            </w:r>
          </w:p>
        </w:tc>
      </w:tr>
      <w:tr w:rsidR="002859D8" w:rsidRPr="00902E03" w:rsidTr="00B05451">
        <w:trPr>
          <w:trHeight w:val="174"/>
          <w:jc w:val="center"/>
        </w:trPr>
        <w:tc>
          <w:tcPr>
            <w:tcW w:w="0" w:type="auto"/>
            <w:vMerge/>
            <w:tcBorders>
              <w:top w:val="nil"/>
              <w:left w:val="nil"/>
              <w:bottom w:val="nil"/>
              <w:right w:val="nil"/>
            </w:tcBorders>
            <w:vAlign w:val="center"/>
            <w:hideMark/>
          </w:tcPr>
          <w:p w:rsidR="002859D8" w:rsidRPr="00902E03" w:rsidRDefault="002859D8" w:rsidP="00B05451">
            <w:pPr>
              <w:spacing w:after="0" w:line="240" w:lineRule="auto"/>
              <w:rPr>
                <w:rFonts w:ascii="Gill Sans MT" w:eastAsia="Times New Roman" w:hAnsi="Gill Sans MT"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(0.286)</w:t>
            </w:r>
          </w:p>
        </w:tc>
      </w:tr>
      <w:tr w:rsidR="002859D8" w:rsidRPr="00902E03" w:rsidTr="00B05451">
        <w:trPr>
          <w:trHeight w:val="199"/>
          <w:jc w:val="center"/>
        </w:trPr>
        <w:tc>
          <w:tcPr>
            <w:tcW w:w="0" w:type="auto"/>
            <w:vMerge w:val="restart"/>
            <w:tcBorders>
              <w:top w:val="nil"/>
              <w:left w:val="nil"/>
              <w:bottom w:val="nil"/>
              <w:right w:val="nil"/>
            </w:tcBorders>
            <w:shd w:val="clear" w:color="auto" w:fill="auto"/>
            <w:noWrap/>
            <w:vAlign w:val="center"/>
            <w:hideMark/>
          </w:tcPr>
          <w:p w:rsidR="002859D8" w:rsidRPr="00902E03" w:rsidRDefault="002859D8" w:rsidP="00B05451">
            <w:pPr>
              <w:spacing w:after="0" w:line="240" w:lineRule="auto"/>
              <w:rPr>
                <w:rFonts w:ascii="Gill Sans MT" w:eastAsia="Times New Roman" w:hAnsi="Gill Sans MT" w:cs="Times New Roman"/>
                <w:i/>
                <w:iCs/>
                <w:color w:val="000000"/>
                <w:lang w:eastAsia="en-GB"/>
              </w:rPr>
            </w:pPr>
            <w:r w:rsidRPr="00902E03">
              <w:rPr>
                <w:rFonts w:ascii="Gill Sans MT" w:eastAsia="Times New Roman" w:hAnsi="Gill Sans MT" w:cs="Times New Roman"/>
                <w:i/>
                <w:iCs/>
                <w:color w:val="000000"/>
                <w:lang w:eastAsia="en-GB"/>
              </w:rPr>
              <w:t>Inv_Pro</w:t>
            </w:r>
            <w:r w:rsidRPr="00902E03">
              <w:rPr>
                <w:rFonts w:ascii="Gill Sans MT" w:eastAsia="Times New Roman" w:hAnsi="Gill Sans MT" w:cs="Times New Roman"/>
                <w:i/>
                <w:iCs/>
                <w:color w:val="000000"/>
                <w:vertAlign w:val="subscript"/>
                <w:lang w:eastAsia="en-GB"/>
              </w:rPr>
              <w:t>ijt</w:t>
            </w: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0.0158</w:t>
            </w:r>
          </w:p>
        </w:tc>
      </w:tr>
      <w:tr w:rsidR="002859D8" w:rsidRPr="00902E03" w:rsidTr="00B05451">
        <w:trPr>
          <w:trHeight w:val="174"/>
          <w:jc w:val="center"/>
        </w:trPr>
        <w:tc>
          <w:tcPr>
            <w:tcW w:w="0" w:type="auto"/>
            <w:vMerge/>
            <w:tcBorders>
              <w:top w:val="nil"/>
              <w:left w:val="nil"/>
              <w:bottom w:val="single" w:sz="8" w:space="0" w:color="C00000"/>
              <w:right w:val="nil"/>
            </w:tcBorders>
            <w:vAlign w:val="center"/>
            <w:hideMark/>
          </w:tcPr>
          <w:p w:rsidR="002859D8" w:rsidRPr="00902E03" w:rsidRDefault="002859D8" w:rsidP="00B05451">
            <w:pPr>
              <w:spacing w:after="0" w:line="240" w:lineRule="auto"/>
              <w:rPr>
                <w:rFonts w:ascii="Gill Sans MT" w:eastAsia="Times New Roman" w:hAnsi="Gill Sans MT" w:cs="Times New Roman"/>
                <w:i/>
                <w:iCs/>
                <w:color w:val="000000"/>
                <w:lang w:eastAsia="en-GB"/>
              </w:rPr>
            </w:pPr>
          </w:p>
        </w:tc>
        <w:tc>
          <w:tcPr>
            <w:tcW w:w="0" w:type="auto"/>
            <w:tcBorders>
              <w:top w:val="nil"/>
              <w:left w:val="nil"/>
              <w:bottom w:val="single" w:sz="8" w:space="0" w:color="C00000"/>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p>
        </w:tc>
        <w:tc>
          <w:tcPr>
            <w:tcW w:w="0" w:type="auto"/>
            <w:tcBorders>
              <w:top w:val="nil"/>
              <w:left w:val="nil"/>
              <w:bottom w:val="single" w:sz="8" w:space="0" w:color="C00000"/>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p>
        </w:tc>
        <w:tc>
          <w:tcPr>
            <w:tcW w:w="0" w:type="auto"/>
            <w:tcBorders>
              <w:top w:val="nil"/>
              <w:left w:val="nil"/>
              <w:bottom w:val="single" w:sz="8" w:space="0" w:color="C00000"/>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(0.0309)</w:t>
            </w:r>
          </w:p>
        </w:tc>
      </w:tr>
      <w:tr w:rsidR="002859D8" w:rsidRPr="00902E03" w:rsidTr="00B05451">
        <w:trPr>
          <w:trHeight w:val="199"/>
          <w:jc w:val="center"/>
        </w:trPr>
        <w:tc>
          <w:tcPr>
            <w:tcW w:w="0" w:type="auto"/>
            <w:vMerge w:val="restart"/>
            <w:tcBorders>
              <w:top w:val="single" w:sz="8" w:space="0" w:color="C00000"/>
              <w:left w:val="nil"/>
              <w:right w:val="nil"/>
            </w:tcBorders>
            <w:shd w:val="clear" w:color="auto" w:fill="auto"/>
            <w:noWrap/>
            <w:vAlign w:val="center"/>
          </w:tcPr>
          <w:p w:rsidR="002859D8" w:rsidRPr="0014570A" w:rsidRDefault="00AC7126" w:rsidP="00B05451">
            <w:pPr>
              <w:spacing w:after="0" w:line="240" w:lineRule="auto"/>
              <w:rPr>
                <w:rFonts w:ascii="Gill Sans MT" w:eastAsia="Times New Roman" w:hAnsi="Gill Sans MT" w:cs="Times New Roman"/>
                <w:color w:val="000000"/>
                <w:lang w:eastAsia="en-GB"/>
              </w:rPr>
            </w:pPr>
            <m:oMath>
              <m:sSub>
                <m:sSubPr>
                  <m:ctrlPr>
                    <w:rPr>
                      <w:rFonts w:ascii="Cambria Math" w:hAnsi="Cambria Math" w:cs="Courier New"/>
                      <w:i/>
                    </w:rPr>
                  </m:ctrlPr>
                </m:sSubPr>
                <m:e>
                  <m:acc>
                    <m:accPr>
                      <m:ctrlPr>
                        <w:rPr>
                          <w:rFonts w:ascii="Cambria Math" w:hAnsi="Cambria Math" w:cs="Courier New"/>
                          <w:i/>
                        </w:rPr>
                      </m:ctrlPr>
                    </m:accPr>
                    <m:e>
                      <m:r>
                        <w:rPr>
                          <w:rFonts w:ascii="Cambria Math" w:hAnsi="Cambria Math" w:cs="Courier New"/>
                        </w:rPr>
                        <m:t>B</m:t>
                      </m:r>
                    </m:e>
                  </m:acc>
                </m:e>
                <m:sub>
                  <m:r>
                    <w:rPr>
                      <w:rFonts w:ascii="Cambria Math" w:hAnsi="Cambria Math" w:cs="Courier New"/>
                    </w:rPr>
                    <m:t>weak</m:t>
                  </m:r>
                </m:sub>
              </m:sSub>
            </m:oMath>
            <w:r w:rsidR="002859D8">
              <w:rPr>
                <w:rFonts w:ascii="Gill Sans MT" w:eastAsia="Times New Roman" w:hAnsi="Gill Sans MT" w:cs="Times New Roman"/>
              </w:rPr>
              <w:t xml:space="preserve"> </w:t>
            </w:r>
          </w:p>
        </w:tc>
        <w:tc>
          <w:tcPr>
            <w:tcW w:w="0" w:type="auto"/>
            <w:tcBorders>
              <w:top w:val="single" w:sz="8" w:space="0" w:color="C00000"/>
              <w:left w:val="nil"/>
              <w:bottom w:val="nil"/>
              <w:right w:val="nil"/>
            </w:tcBorders>
            <w:shd w:val="clear" w:color="auto" w:fill="auto"/>
            <w:noWrap/>
            <w:vAlign w:val="center"/>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0.055</w:t>
            </w:r>
          </w:p>
        </w:tc>
        <w:tc>
          <w:tcPr>
            <w:tcW w:w="0" w:type="auto"/>
            <w:tcBorders>
              <w:top w:val="single" w:sz="8" w:space="0" w:color="C00000"/>
              <w:left w:val="nil"/>
              <w:bottom w:val="nil"/>
              <w:right w:val="nil"/>
            </w:tcBorders>
            <w:shd w:val="clear" w:color="auto" w:fill="auto"/>
            <w:noWrap/>
            <w:vAlign w:val="center"/>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0.187</w:t>
            </w:r>
          </w:p>
        </w:tc>
        <w:tc>
          <w:tcPr>
            <w:tcW w:w="0" w:type="auto"/>
            <w:tcBorders>
              <w:top w:val="single" w:sz="8" w:space="0" w:color="C00000"/>
              <w:left w:val="nil"/>
              <w:bottom w:val="nil"/>
              <w:right w:val="nil"/>
            </w:tcBorders>
            <w:shd w:val="clear" w:color="auto" w:fill="auto"/>
            <w:noWrap/>
            <w:vAlign w:val="center"/>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0.247</w:t>
            </w:r>
          </w:p>
        </w:tc>
      </w:tr>
      <w:tr w:rsidR="002859D8" w:rsidRPr="00902E03" w:rsidTr="00B05451">
        <w:trPr>
          <w:trHeight w:val="199"/>
          <w:jc w:val="center"/>
        </w:trPr>
        <w:tc>
          <w:tcPr>
            <w:tcW w:w="0" w:type="auto"/>
            <w:vMerge/>
            <w:tcBorders>
              <w:left w:val="nil"/>
              <w:bottom w:val="nil"/>
              <w:right w:val="nil"/>
            </w:tcBorders>
            <w:shd w:val="clear" w:color="auto" w:fill="auto"/>
            <w:noWrap/>
            <w:vAlign w:val="center"/>
          </w:tcPr>
          <w:p w:rsidR="002859D8" w:rsidRPr="00902E03" w:rsidRDefault="002859D8" w:rsidP="00B05451">
            <w:pPr>
              <w:spacing w:after="0" w:line="240" w:lineRule="auto"/>
              <w:rPr>
                <w:rFonts w:ascii="Gill Sans MT" w:eastAsia="Times New Roman" w:hAnsi="Gill Sans MT" w:cs="Times New Roman"/>
                <w:color w:val="000000"/>
                <w:lang w:eastAsia="en-GB"/>
              </w:rPr>
            </w:pPr>
          </w:p>
        </w:tc>
        <w:tc>
          <w:tcPr>
            <w:tcW w:w="0" w:type="auto"/>
            <w:tcBorders>
              <w:top w:val="nil"/>
              <w:left w:val="nil"/>
              <w:bottom w:val="nil"/>
              <w:right w:val="nil"/>
            </w:tcBorders>
            <w:shd w:val="clear" w:color="auto" w:fill="auto"/>
            <w:noWrap/>
            <w:vAlign w:val="center"/>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w:t>
            </w:r>
            <w:r w:rsidRPr="00334709">
              <w:rPr>
                <w:rFonts w:ascii="Gill Sans MT" w:eastAsia="Times New Roman" w:hAnsi="Gill Sans MT" w:cs="Times New Roman"/>
                <w:color w:val="000000"/>
                <w:lang w:eastAsia="en-GB"/>
              </w:rPr>
              <w:t>0.09</w:t>
            </w:r>
            <w:r>
              <w:rPr>
                <w:rFonts w:ascii="Gill Sans MT" w:eastAsia="Times New Roman" w:hAnsi="Gill Sans MT" w:cs="Times New Roman"/>
                <w:color w:val="000000"/>
                <w:lang w:eastAsia="en-GB"/>
              </w:rPr>
              <w:t>)</w:t>
            </w:r>
          </w:p>
        </w:tc>
        <w:tc>
          <w:tcPr>
            <w:tcW w:w="0" w:type="auto"/>
            <w:tcBorders>
              <w:top w:val="nil"/>
              <w:left w:val="nil"/>
              <w:bottom w:val="nil"/>
              <w:right w:val="nil"/>
            </w:tcBorders>
            <w:shd w:val="clear" w:color="auto" w:fill="auto"/>
            <w:noWrap/>
            <w:vAlign w:val="center"/>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w:t>
            </w:r>
            <w:r w:rsidRPr="00EC5C69">
              <w:rPr>
                <w:rFonts w:ascii="Gill Sans MT" w:eastAsia="Times New Roman" w:hAnsi="Gill Sans MT" w:cs="Times New Roman"/>
                <w:color w:val="000000"/>
                <w:lang w:eastAsia="en-GB"/>
              </w:rPr>
              <w:t>1.04</w:t>
            </w:r>
            <w:r>
              <w:rPr>
                <w:rFonts w:ascii="Gill Sans MT" w:eastAsia="Times New Roman" w:hAnsi="Gill Sans MT" w:cs="Times New Roman"/>
                <w:color w:val="000000"/>
                <w:lang w:eastAsia="en-GB"/>
              </w:rPr>
              <w:t>)</w:t>
            </w:r>
          </w:p>
        </w:tc>
        <w:tc>
          <w:tcPr>
            <w:tcW w:w="0" w:type="auto"/>
            <w:tcBorders>
              <w:top w:val="nil"/>
              <w:left w:val="nil"/>
              <w:bottom w:val="nil"/>
              <w:right w:val="nil"/>
            </w:tcBorders>
            <w:shd w:val="clear" w:color="auto" w:fill="auto"/>
            <w:noWrap/>
            <w:vAlign w:val="center"/>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w:t>
            </w:r>
            <w:r w:rsidRPr="000D65C6">
              <w:rPr>
                <w:rFonts w:ascii="Gill Sans MT" w:eastAsia="Times New Roman" w:hAnsi="Gill Sans MT" w:cs="Times New Roman"/>
                <w:color w:val="000000"/>
                <w:lang w:eastAsia="en-GB"/>
              </w:rPr>
              <w:t>1.66</w:t>
            </w:r>
            <w:r>
              <w:rPr>
                <w:rFonts w:ascii="Gill Sans MT" w:eastAsia="Times New Roman" w:hAnsi="Gill Sans MT" w:cs="Times New Roman"/>
                <w:color w:val="000000"/>
                <w:lang w:eastAsia="en-GB"/>
              </w:rPr>
              <w:t>)</w:t>
            </w:r>
          </w:p>
        </w:tc>
      </w:tr>
      <w:tr w:rsidR="002859D8" w:rsidRPr="00902E03" w:rsidTr="00B05451">
        <w:trPr>
          <w:trHeight w:val="199"/>
          <w:jc w:val="center"/>
        </w:trPr>
        <w:tc>
          <w:tcPr>
            <w:tcW w:w="0" w:type="auto"/>
            <w:vMerge w:val="restart"/>
            <w:tcBorders>
              <w:top w:val="nil"/>
              <w:left w:val="nil"/>
              <w:right w:val="nil"/>
            </w:tcBorders>
            <w:shd w:val="clear" w:color="auto" w:fill="auto"/>
            <w:noWrap/>
            <w:vAlign w:val="center"/>
          </w:tcPr>
          <w:p w:rsidR="002859D8" w:rsidRPr="00334709" w:rsidRDefault="00AC7126" w:rsidP="00B05451">
            <w:pPr>
              <w:spacing w:after="0" w:line="240" w:lineRule="auto"/>
              <w:rPr>
                <w:rFonts w:ascii="Gill Sans MT" w:eastAsia="Times New Roman" w:hAnsi="Gill Sans MT" w:cs="Times New Roman"/>
                <w:color w:val="000000"/>
                <w:lang w:eastAsia="en-GB"/>
              </w:rPr>
            </w:pPr>
            <m:oMathPara>
              <m:oMathParaPr>
                <m:jc m:val="left"/>
              </m:oMathParaPr>
              <m:oMath>
                <m:sSub>
                  <m:sSubPr>
                    <m:ctrlPr>
                      <w:rPr>
                        <w:rFonts w:ascii="Cambria Math" w:hAnsi="Cambria Math" w:cs="Courier New"/>
                        <w:i/>
                      </w:rPr>
                    </m:ctrlPr>
                  </m:sSubPr>
                  <m:e>
                    <m:acc>
                      <m:accPr>
                        <m:ctrlPr>
                          <w:rPr>
                            <w:rFonts w:ascii="Cambria Math" w:hAnsi="Cambria Math" w:cs="Courier New"/>
                            <w:i/>
                          </w:rPr>
                        </m:ctrlPr>
                      </m:accPr>
                      <m:e>
                        <m:r>
                          <w:rPr>
                            <w:rFonts w:ascii="Cambria Math" w:hAnsi="Cambria Math" w:cs="Courier New"/>
                          </w:rPr>
                          <m:t>B</m:t>
                        </m:r>
                      </m:e>
                    </m:acc>
                  </m:e>
                  <m:sub>
                    <m:r>
                      <w:rPr>
                        <w:rFonts w:ascii="Cambria Math" w:hAnsi="Cambria Math" w:cs="Courier New"/>
                      </w:rPr>
                      <m:t>strong</m:t>
                    </m:r>
                  </m:sub>
                </m:sSub>
              </m:oMath>
            </m:oMathPara>
          </w:p>
        </w:tc>
        <w:tc>
          <w:tcPr>
            <w:tcW w:w="0" w:type="auto"/>
            <w:tcBorders>
              <w:top w:val="nil"/>
              <w:left w:val="nil"/>
              <w:bottom w:val="nil"/>
              <w:right w:val="nil"/>
            </w:tcBorders>
            <w:shd w:val="clear" w:color="auto" w:fill="auto"/>
            <w:noWrap/>
            <w:vAlign w:val="center"/>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0.736**</w:t>
            </w:r>
          </w:p>
        </w:tc>
        <w:tc>
          <w:tcPr>
            <w:tcW w:w="0" w:type="auto"/>
            <w:tcBorders>
              <w:top w:val="nil"/>
              <w:left w:val="nil"/>
              <w:bottom w:val="nil"/>
              <w:right w:val="nil"/>
            </w:tcBorders>
            <w:shd w:val="clear" w:color="auto" w:fill="auto"/>
            <w:noWrap/>
            <w:vAlign w:val="center"/>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0.256**</w:t>
            </w:r>
          </w:p>
        </w:tc>
        <w:tc>
          <w:tcPr>
            <w:tcW w:w="0" w:type="auto"/>
            <w:tcBorders>
              <w:top w:val="nil"/>
              <w:left w:val="nil"/>
              <w:bottom w:val="nil"/>
              <w:right w:val="nil"/>
            </w:tcBorders>
            <w:shd w:val="clear" w:color="auto" w:fill="auto"/>
            <w:noWrap/>
            <w:vAlign w:val="center"/>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0.729***</w:t>
            </w:r>
          </w:p>
        </w:tc>
      </w:tr>
      <w:tr w:rsidR="002859D8" w:rsidRPr="00902E03" w:rsidTr="00B05451">
        <w:trPr>
          <w:trHeight w:val="199"/>
          <w:jc w:val="center"/>
        </w:trPr>
        <w:tc>
          <w:tcPr>
            <w:tcW w:w="0" w:type="auto"/>
            <w:vMerge/>
            <w:tcBorders>
              <w:left w:val="nil"/>
              <w:bottom w:val="nil"/>
              <w:right w:val="nil"/>
            </w:tcBorders>
            <w:shd w:val="clear" w:color="auto" w:fill="auto"/>
            <w:noWrap/>
            <w:vAlign w:val="center"/>
          </w:tcPr>
          <w:p w:rsidR="002859D8" w:rsidRPr="00902E03" w:rsidRDefault="002859D8" w:rsidP="00B05451">
            <w:pPr>
              <w:spacing w:after="0" w:line="240" w:lineRule="auto"/>
              <w:rPr>
                <w:rFonts w:ascii="Gill Sans MT" w:eastAsia="Times New Roman" w:hAnsi="Gill Sans MT" w:cs="Times New Roman"/>
                <w:color w:val="000000"/>
                <w:lang w:eastAsia="en-GB"/>
              </w:rPr>
            </w:pPr>
          </w:p>
        </w:tc>
        <w:tc>
          <w:tcPr>
            <w:tcW w:w="0" w:type="auto"/>
            <w:tcBorders>
              <w:top w:val="nil"/>
              <w:left w:val="nil"/>
              <w:bottom w:val="nil"/>
              <w:right w:val="nil"/>
            </w:tcBorders>
            <w:shd w:val="clear" w:color="auto" w:fill="auto"/>
            <w:noWrap/>
            <w:vAlign w:val="center"/>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w:t>
            </w:r>
            <w:r w:rsidRPr="00334709">
              <w:rPr>
                <w:rFonts w:ascii="Gill Sans MT" w:eastAsia="Times New Roman" w:hAnsi="Gill Sans MT" w:cs="Times New Roman"/>
                <w:color w:val="000000"/>
                <w:lang w:eastAsia="en-GB"/>
              </w:rPr>
              <w:t>4.00</w:t>
            </w:r>
            <w:r>
              <w:rPr>
                <w:rFonts w:ascii="Gill Sans MT" w:eastAsia="Times New Roman" w:hAnsi="Gill Sans MT" w:cs="Times New Roman"/>
                <w:color w:val="000000"/>
                <w:lang w:eastAsia="en-GB"/>
              </w:rPr>
              <w:t>)</w:t>
            </w:r>
          </w:p>
        </w:tc>
        <w:tc>
          <w:tcPr>
            <w:tcW w:w="0" w:type="auto"/>
            <w:tcBorders>
              <w:top w:val="nil"/>
              <w:left w:val="nil"/>
              <w:bottom w:val="nil"/>
              <w:right w:val="nil"/>
            </w:tcBorders>
            <w:shd w:val="clear" w:color="auto" w:fill="auto"/>
            <w:noWrap/>
            <w:vAlign w:val="center"/>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w:t>
            </w:r>
            <w:r w:rsidRPr="00EC5C69">
              <w:rPr>
                <w:rFonts w:ascii="Gill Sans MT" w:eastAsia="Times New Roman" w:hAnsi="Gill Sans MT" w:cs="Times New Roman"/>
                <w:color w:val="000000"/>
                <w:lang w:eastAsia="en-GB"/>
              </w:rPr>
              <w:t>6.05</w:t>
            </w:r>
            <w:r>
              <w:rPr>
                <w:rFonts w:ascii="Gill Sans MT" w:eastAsia="Times New Roman" w:hAnsi="Gill Sans MT" w:cs="Times New Roman"/>
                <w:color w:val="000000"/>
                <w:lang w:eastAsia="en-GB"/>
              </w:rPr>
              <w:t xml:space="preserve">) </w:t>
            </w:r>
          </w:p>
        </w:tc>
        <w:tc>
          <w:tcPr>
            <w:tcW w:w="0" w:type="auto"/>
            <w:tcBorders>
              <w:top w:val="nil"/>
              <w:left w:val="nil"/>
              <w:bottom w:val="nil"/>
              <w:right w:val="nil"/>
            </w:tcBorders>
            <w:shd w:val="clear" w:color="auto" w:fill="auto"/>
            <w:noWrap/>
            <w:vAlign w:val="center"/>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w:t>
            </w:r>
            <w:r w:rsidRPr="000D65C6">
              <w:rPr>
                <w:rFonts w:ascii="Gill Sans MT" w:eastAsia="Times New Roman" w:hAnsi="Gill Sans MT" w:cs="Times New Roman"/>
                <w:color w:val="000000"/>
                <w:lang w:eastAsia="en-GB"/>
              </w:rPr>
              <w:t>6.97</w:t>
            </w:r>
            <w:r>
              <w:rPr>
                <w:rFonts w:ascii="Gill Sans MT" w:eastAsia="Times New Roman" w:hAnsi="Gill Sans MT" w:cs="Times New Roman"/>
                <w:color w:val="000000"/>
                <w:lang w:eastAsia="en-GB"/>
              </w:rPr>
              <w:t>)</w:t>
            </w:r>
          </w:p>
        </w:tc>
      </w:tr>
      <w:tr w:rsidR="002859D8" w:rsidRPr="00902E03" w:rsidTr="00B05451">
        <w:trPr>
          <w:trHeight w:val="199"/>
          <w:jc w:val="center"/>
        </w:trPr>
        <w:tc>
          <w:tcPr>
            <w:tcW w:w="0" w:type="auto"/>
            <w:tcBorders>
              <w:top w:val="nil"/>
              <w:left w:val="nil"/>
              <w:bottom w:val="nil"/>
              <w:right w:val="nil"/>
            </w:tcBorders>
            <w:shd w:val="clear" w:color="auto" w:fill="auto"/>
            <w:noWrap/>
            <w:vAlign w:val="center"/>
          </w:tcPr>
          <w:p w:rsidR="002859D8" w:rsidRPr="00902E03" w:rsidRDefault="002859D8" w:rsidP="00B05451">
            <w:pPr>
              <w:spacing w:after="0" w:line="240" w:lineRule="auto"/>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 xml:space="preserve">Host-source </w:t>
            </w:r>
            <w:r>
              <w:rPr>
                <w:rFonts w:ascii="Gill Sans MT" w:eastAsia="Times New Roman" w:hAnsi="Gill Sans MT" w:cs="Times New Roman"/>
                <w:color w:val="000000"/>
                <w:lang w:eastAsia="en-GB"/>
              </w:rPr>
              <w:t>FE</w:t>
            </w:r>
          </w:p>
        </w:tc>
        <w:tc>
          <w:tcPr>
            <w:tcW w:w="0" w:type="auto"/>
            <w:tcBorders>
              <w:top w:val="nil"/>
              <w:left w:val="nil"/>
              <w:bottom w:val="nil"/>
              <w:right w:val="nil"/>
            </w:tcBorders>
            <w:shd w:val="clear" w:color="auto" w:fill="auto"/>
            <w:noWrap/>
            <w:vAlign w:val="center"/>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Yes</w:t>
            </w:r>
          </w:p>
        </w:tc>
        <w:tc>
          <w:tcPr>
            <w:tcW w:w="0" w:type="auto"/>
            <w:tcBorders>
              <w:top w:val="nil"/>
              <w:left w:val="nil"/>
              <w:bottom w:val="nil"/>
              <w:right w:val="nil"/>
            </w:tcBorders>
            <w:shd w:val="clear" w:color="auto" w:fill="auto"/>
            <w:noWrap/>
            <w:vAlign w:val="center"/>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Yes</w:t>
            </w:r>
          </w:p>
        </w:tc>
        <w:tc>
          <w:tcPr>
            <w:tcW w:w="0" w:type="auto"/>
            <w:tcBorders>
              <w:top w:val="nil"/>
              <w:left w:val="nil"/>
              <w:bottom w:val="nil"/>
              <w:right w:val="nil"/>
            </w:tcBorders>
            <w:shd w:val="clear" w:color="auto" w:fill="auto"/>
            <w:noWrap/>
            <w:vAlign w:val="center"/>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Yes</w:t>
            </w:r>
          </w:p>
        </w:tc>
      </w:tr>
      <w:tr w:rsidR="002859D8" w:rsidRPr="00902E03" w:rsidTr="00B05451">
        <w:trPr>
          <w:trHeight w:val="199"/>
          <w:jc w:val="center"/>
        </w:trPr>
        <w:tc>
          <w:tcPr>
            <w:tcW w:w="0" w:type="auto"/>
            <w:tcBorders>
              <w:top w:val="nil"/>
              <w:left w:val="nil"/>
              <w:bottom w:val="nil"/>
              <w:right w:val="nil"/>
            </w:tcBorders>
            <w:shd w:val="clear" w:color="auto" w:fill="auto"/>
            <w:noWrap/>
            <w:vAlign w:val="center"/>
          </w:tcPr>
          <w:p w:rsidR="002859D8" w:rsidRPr="00902E03" w:rsidRDefault="002859D8" w:rsidP="00B05451">
            <w:pPr>
              <w:spacing w:after="0" w:line="240" w:lineRule="auto"/>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 xml:space="preserve">Country-Year </w:t>
            </w:r>
            <w:r>
              <w:rPr>
                <w:rFonts w:ascii="Gill Sans MT" w:eastAsia="Times New Roman" w:hAnsi="Gill Sans MT" w:cs="Times New Roman"/>
                <w:color w:val="000000"/>
                <w:lang w:eastAsia="en-GB"/>
              </w:rPr>
              <w:t>FE</w:t>
            </w:r>
          </w:p>
        </w:tc>
        <w:tc>
          <w:tcPr>
            <w:tcW w:w="0" w:type="auto"/>
            <w:tcBorders>
              <w:top w:val="nil"/>
              <w:left w:val="nil"/>
              <w:bottom w:val="nil"/>
              <w:right w:val="nil"/>
            </w:tcBorders>
            <w:shd w:val="clear" w:color="auto" w:fill="auto"/>
            <w:noWrap/>
            <w:vAlign w:val="center"/>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Yes</w:t>
            </w:r>
          </w:p>
        </w:tc>
        <w:tc>
          <w:tcPr>
            <w:tcW w:w="0" w:type="auto"/>
            <w:tcBorders>
              <w:top w:val="nil"/>
              <w:left w:val="nil"/>
              <w:bottom w:val="nil"/>
              <w:right w:val="nil"/>
            </w:tcBorders>
            <w:shd w:val="clear" w:color="auto" w:fill="auto"/>
            <w:noWrap/>
            <w:vAlign w:val="center"/>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Yes</w:t>
            </w:r>
          </w:p>
        </w:tc>
        <w:tc>
          <w:tcPr>
            <w:tcW w:w="0" w:type="auto"/>
            <w:tcBorders>
              <w:top w:val="nil"/>
              <w:left w:val="nil"/>
              <w:bottom w:val="nil"/>
              <w:right w:val="nil"/>
            </w:tcBorders>
            <w:shd w:val="clear" w:color="auto" w:fill="auto"/>
            <w:noWrap/>
            <w:vAlign w:val="center"/>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Yes</w:t>
            </w:r>
          </w:p>
        </w:tc>
      </w:tr>
      <w:tr w:rsidR="002859D8" w:rsidRPr="00902E03" w:rsidTr="00B05451">
        <w:trPr>
          <w:trHeight w:val="199"/>
          <w:jc w:val="center"/>
        </w:trPr>
        <w:tc>
          <w:tcPr>
            <w:tcW w:w="0" w:type="auto"/>
            <w:tcBorders>
              <w:top w:val="nil"/>
              <w:left w:val="nil"/>
              <w:bottom w:val="nil"/>
              <w:right w:val="nil"/>
            </w:tcBorders>
            <w:shd w:val="clear" w:color="auto" w:fill="auto"/>
            <w:noWrap/>
            <w:vAlign w:val="center"/>
            <w:hideMark/>
          </w:tcPr>
          <w:p w:rsidR="002859D8" w:rsidRPr="00902E03" w:rsidRDefault="002859D8" w:rsidP="00B05451">
            <w:pPr>
              <w:spacing w:after="0" w:line="240" w:lineRule="auto"/>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Observations</w:t>
            </w: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14786</w:t>
            </w: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13225</w:t>
            </w:r>
          </w:p>
        </w:tc>
        <w:tc>
          <w:tcPr>
            <w:tcW w:w="0" w:type="auto"/>
            <w:tcBorders>
              <w:top w:val="nil"/>
              <w:left w:val="nil"/>
              <w:bottom w:val="nil"/>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13225</w:t>
            </w:r>
          </w:p>
        </w:tc>
      </w:tr>
      <w:tr w:rsidR="002859D8" w:rsidRPr="00902E03" w:rsidTr="00B05451">
        <w:trPr>
          <w:trHeight w:val="199"/>
          <w:jc w:val="center"/>
        </w:trPr>
        <w:tc>
          <w:tcPr>
            <w:tcW w:w="0" w:type="auto"/>
            <w:tcBorders>
              <w:top w:val="nil"/>
              <w:left w:val="nil"/>
              <w:bottom w:val="single" w:sz="18" w:space="0" w:color="C00000"/>
              <w:right w:val="nil"/>
            </w:tcBorders>
            <w:shd w:val="clear" w:color="auto" w:fill="auto"/>
            <w:noWrap/>
            <w:vAlign w:val="center"/>
            <w:hideMark/>
          </w:tcPr>
          <w:p w:rsidR="002859D8" w:rsidRPr="00902E03" w:rsidRDefault="002859D8" w:rsidP="00B05451">
            <w:pPr>
              <w:spacing w:after="0" w:line="240" w:lineRule="auto"/>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Pseudo R-sq</w:t>
            </w:r>
          </w:p>
        </w:tc>
        <w:tc>
          <w:tcPr>
            <w:tcW w:w="0" w:type="auto"/>
            <w:tcBorders>
              <w:top w:val="nil"/>
              <w:left w:val="nil"/>
              <w:bottom w:val="single" w:sz="18" w:space="0" w:color="C00000"/>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0.859</w:t>
            </w:r>
          </w:p>
        </w:tc>
        <w:tc>
          <w:tcPr>
            <w:tcW w:w="0" w:type="auto"/>
            <w:tcBorders>
              <w:top w:val="nil"/>
              <w:left w:val="nil"/>
              <w:bottom w:val="single" w:sz="18" w:space="0" w:color="C00000"/>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0.858</w:t>
            </w:r>
          </w:p>
        </w:tc>
        <w:tc>
          <w:tcPr>
            <w:tcW w:w="0" w:type="auto"/>
            <w:tcBorders>
              <w:top w:val="nil"/>
              <w:left w:val="nil"/>
              <w:bottom w:val="single" w:sz="18" w:space="0" w:color="C00000"/>
              <w:right w:val="nil"/>
            </w:tcBorders>
            <w:shd w:val="clear" w:color="auto" w:fill="auto"/>
            <w:noWrap/>
            <w:vAlign w:val="bottom"/>
            <w:hideMark/>
          </w:tcPr>
          <w:p w:rsidR="002859D8" w:rsidRPr="00902E03" w:rsidRDefault="002859D8" w:rsidP="00B05451">
            <w:pPr>
              <w:spacing w:after="0" w:line="240" w:lineRule="auto"/>
              <w:jc w:val="center"/>
              <w:rPr>
                <w:rFonts w:ascii="Gill Sans MT" w:eastAsia="Times New Roman" w:hAnsi="Gill Sans MT" w:cs="Times New Roman"/>
                <w:color w:val="000000"/>
                <w:lang w:eastAsia="en-GB"/>
              </w:rPr>
            </w:pPr>
            <w:r w:rsidRPr="00902E03">
              <w:rPr>
                <w:rFonts w:ascii="Gill Sans MT" w:eastAsia="Times New Roman" w:hAnsi="Gill Sans MT" w:cs="Times New Roman"/>
                <w:color w:val="000000"/>
                <w:lang w:eastAsia="en-GB"/>
              </w:rPr>
              <w:t>0.858</w:t>
            </w:r>
          </w:p>
        </w:tc>
      </w:tr>
      <w:tr w:rsidR="002859D8" w:rsidRPr="00902E03" w:rsidTr="00B05451">
        <w:trPr>
          <w:trHeight w:val="1290"/>
          <w:jc w:val="center"/>
        </w:trPr>
        <w:tc>
          <w:tcPr>
            <w:tcW w:w="0" w:type="auto"/>
            <w:gridSpan w:val="4"/>
            <w:tcBorders>
              <w:top w:val="single" w:sz="18" w:space="0" w:color="C00000"/>
              <w:left w:val="nil"/>
              <w:bottom w:val="nil"/>
              <w:right w:val="nil"/>
            </w:tcBorders>
            <w:shd w:val="clear" w:color="auto" w:fill="auto"/>
            <w:vAlign w:val="center"/>
            <w:hideMark/>
          </w:tcPr>
          <w:p w:rsidR="002859D8" w:rsidRPr="00902E03" w:rsidRDefault="002859D8" w:rsidP="00B05451">
            <w:pPr>
              <w:spacing w:after="0" w:line="240" w:lineRule="auto"/>
              <w:rPr>
                <w:rFonts w:ascii="Gill Sans MT" w:eastAsia="Times New Roman" w:hAnsi="Gill Sans MT" w:cs="Times New Roman"/>
                <w:color w:val="000000"/>
                <w:sz w:val="20"/>
                <w:szCs w:val="20"/>
                <w:lang w:eastAsia="en-GB"/>
              </w:rPr>
            </w:pPr>
            <w:r>
              <w:rPr>
                <w:rFonts w:ascii="Gill Sans MT" w:eastAsia="Times New Roman" w:hAnsi="Gill Sans MT" w:cs="Times New Roman"/>
                <w:color w:val="000000"/>
                <w:sz w:val="20"/>
                <w:szCs w:val="20"/>
                <w:lang w:eastAsia="en-GB"/>
              </w:rPr>
              <w:t>Table 4</w:t>
            </w:r>
            <w:r w:rsidRPr="00902E03">
              <w:rPr>
                <w:rFonts w:ascii="Gill Sans MT" w:eastAsia="Times New Roman" w:hAnsi="Gill Sans MT" w:cs="Times New Roman"/>
                <w:color w:val="000000"/>
                <w:sz w:val="20"/>
                <w:szCs w:val="20"/>
                <w:lang w:eastAsia="en-GB"/>
              </w:rPr>
              <w:t xml:space="preserve">: this table </w:t>
            </w:r>
            <w:r>
              <w:rPr>
                <w:rFonts w:ascii="Gill Sans MT" w:eastAsia="Times New Roman" w:hAnsi="Gill Sans MT" w:cs="Times New Roman"/>
                <w:color w:val="000000"/>
                <w:sz w:val="20"/>
                <w:szCs w:val="20"/>
                <w:lang w:eastAsia="en-GB"/>
              </w:rPr>
              <w:t>describes the effect of BITs on FDI inflows when country-year fixed effects are taken into consideration</w:t>
            </w:r>
            <w:r w:rsidRPr="00902E03">
              <w:rPr>
                <w:rFonts w:ascii="Gill Sans MT" w:eastAsia="Times New Roman" w:hAnsi="Gill Sans MT" w:cs="Times New Roman"/>
                <w:color w:val="000000"/>
                <w:sz w:val="20"/>
                <w:szCs w:val="20"/>
                <w:lang w:eastAsia="en-GB"/>
              </w:rPr>
              <w:t>.</w:t>
            </w:r>
            <w:r>
              <w:rPr>
                <w:rFonts w:ascii="Gill Sans MT" w:eastAsia="Times New Roman" w:hAnsi="Gill Sans MT" w:cs="Times New Roman"/>
                <w:color w:val="000000"/>
                <w:sz w:val="20"/>
                <w:szCs w:val="20"/>
                <w:lang w:eastAsia="en-GB"/>
              </w:rPr>
              <w:t xml:space="preserve"> Note that usual elements of gravity are not present here (GDP), since they do not vary for cou</w:t>
            </w:r>
            <w:r>
              <w:rPr>
                <w:rFonts w:ascii="Gill Sans MT" w:eastAsia="Times New Roman" w:hAnsi="Gill Sans MT" w:cs="Times New Roman"/>
                <w:color w:val="000000"/>
                <w:sz w:val="20"/>
                <w:szCs w:val="20"/>
                <w:lang w:eastAsia="en-GB"/>
              </w:rPr>
              <w:t>n</w:t>
            </w:r>
            <w:r>
              <w:rPr>
                <w:rFonts w:ascii="Gill Sans MT" w:eastAsia="Times New Roman" w:hAnsi="Gill Sans MT" w:cs="Times New Roman"/>
                <w:color w:val="000000"/>
                <w:sz w:val="20"/>
                <w:szCs w:val="20"/>
                <w:lang w:eastAsia="en-GB"/>
              </w:rPr>
              <w:t>tries between host-source groups by year. Trade in goods, introduced in column (2), remain a variable control as they do offer variation between groups. Similarly, the presence of PTAs and their investment provisions pr</w:t>
            </w:r>
            <w:r>
              <w:rPr>
                <w:rFonts w:ascii="Gill Sans MT" w:eastAsia="Times New Roman" w:hAnsi="Gill Sans MT" w:cs="Times New Roman"/>
                <w:color w:val="000000"/>
                <w:sz w:val="20"/>
                <w:szCs w:val="20"/>
                <w:lang w:eastAsia="en-GB"/>
              </w:rPr>
              <w:t>o</w:t>
            </w:r>
            <w:r>
              <w:rPr>
                <w:rFonts w:ascii="Gill Sans MT" w:eastAsia="Times New Roman" w:hAnsi="Gill Sans MT" w:cs="Times New Roman"/>
                <w:color w:val="000000"/>
                <w:sz w:val="20"/>
                <w:szCs w:val="20"/>
                <w:lang w:eastAsia="en-GB"/>
              </w:rPr>
              <w:t>vide additional controls in column (3).</w:t>
            </w:r>
          </w:p>
        </w:tc>
      </w:tr>
    </w:tbl>
    <w:p w:rsidR="008425C8" w:rsidRDefault="008425C8" w:rsidP="008425C8">
      <w:pPr>
        <w:pStyle w:val="PlainText"/>
        <w:spacing w:line="360" w:lineRule="auto"/>
        <w:jc w:val="both"/>
        <w:rPr>
          <w:rFonts w:asciiTheme="minorHAnsi" w:hAnsiTheme="minorHAnsi" w:cs="Courier New"/>
          <w:b/>
          <w:sz w:val="22"/>
          <w:szCs w:val="22"/>
        </w:rPr>
      </w:pPr>
    </w:p>
    <w:p w:rsidR="002859D8" w:rsidRPr="00FA16EB" w:rsidRDefault="002859D8" w:rsidP="008425C8">
      <w:pPr>
        <w:pStyle w:val="PlainText"/>
        <w:numPr>
          <w:ilvl w:val="0"/>
          <w:numId w:val="2"/>
        </w:numPr>
        <w:spacing w:line="360" w:lineRule="auto"/>
        <w:jc w:val="both"/>
        <w:rPr>
          <w:rFonts w:asciiTheme="minorHAnsi" w:hAnsiTheme="minorHAnsi" w:cs="Courier New"/>
          <w:b/>
          <w:sz w:val="22"/>
          <w:szCs w:val="22"/>
        </w:rPr>
      </w:pPr>
      <w:r>
        <w:rPr>
          <w:rFonts w:asciiTheme="minorHAnsi" w:hAnsiTheme="minorHAnsi" w:cs="Courier New"/>
          <w:b/>
          <w:sz w:val="22"/>
          <w:szCs w:val="22"/>
        </w:rPr>
        <w:t>Conclusion</w:t>
      </w:r>
    </w:p>
    <w:p w:rsidR="002859D8" w:rsidRPr="00B54BC7" w:rsidRDefault="00CC400F" w:rsidP="008425C8">
      <w:pPr>
        <w:pStyle w:val="PlainText"/>
        <w:spacing w:after="120" w:line="360" w:lineRule="auto"/>
        <w:jc w:val="both"/>
        <w:rPr>
          <w:rFonts w:asciiTheme="minorHAnsi" w:hAnsiTheme="minorHAnsi" w:cs="Courier New"/>
          <w:sz w:val="22"/>
          <w:szCs w:val="22"/>
        </w:rPr>
      </w:pPr>
      <w:r>
        <w:rPr>
          <w:rFonts w:asciiTheme="minorHAnsi" w:hAnsiTheme="minorHAnsi" w:cs="Courier New"/>
          <w:sz w:val="22"/>
          <w:szCs w:val="22"/>
        </w:rPr>
        <w:t>Our analysis shows</w:t>
      </w:r>
      <w:r w:rsidR="002859D8" w:rsidRPr="00B54BC7">
        <w:rPr>
          <w:rFonts w:asciiTheme="minorHAnsi" w:hAnsiTheme="minorHAnsi" w:cs="Courier New"/>
          <w:sz w:val="22"/>
          <w:szCs w:val="22"/>
        </w:rPr>
        <w:t xml:space="preserve"> that more stringent </w:t>
      </w:r>
      <w:r w:rsidR="00296501">
        <w:rPr>
          <w:rFonts w:asciiTheme="minorHAnsi" w:hAnsiTheme="minorHAnsi" w:cs="Courier New"/>
          <w:sz w:val="22"/>
          <w:szCs w:val="22"/>
        </w:rPr>
        <w:t>investment</w:t>
      </w:r>
      <w:r>
        <w:rPr>
          <w:rFonts w:asciiTheme="minorHAnsi" w:hAnsiTheme="minorHAnsi" w:cs="Courier New"/>
          <w:sz w:val="22"/>
          <w:szCs w:val="22"/>
        </w:rPr>
        <w:t xml:space="preserve"> protection provisions in </w:t>
      </w:r>
      <w:r w:rsidR="002859D8" w:rsidRPr="00B54BC7">
        <w:rPr>
          <w:rFonts w:asciiTheme="minorHAnsi" w:hAnsiTheme="minorHAnsi" w:cs="Courier New"/>
          <w:sz w:val="22"/>
          <w:szCs w:val="22"/>
        </w:rPr>
        <w:t xml:space="preserve">BITs have a larger </w:t>
      </w:r>
      <w:r>
        <w:rPr>
          <w:rFonts w:asciiTheme="minorHAnsi" w:hAnsiTheme="minorHAnsi" w:cs="Courier New"/>
          <w:sz w:val="22"/>
          <w:szCs w:val="22"/>
        </w:rPr>
        <w:t xml:space="preserve">influence on </w:t>
      </w:r>
      <w:r w:rsidR="002859D8" w:rsidRPr="00B54BC7">
        <w:rPr>
          <w:rFonts w:asciiTheme="minorHAnsi" w:hAnsiTheme="minorHAnsi" w:cs="Courier New"/>
          <w:sz w:val="22"/>
          <w:szCs w:val="22"/>
        </w:rPr>
        <w:t>FDI inflows in OECD countries</w:t>
      </w:r>
      <w:r>
        <w:rPr>
          <w:rFonts w:asciiTheme="minorHAnsi" w:hAnsiTheme="minorHAnsi" w:cs="Courier New"/>
          <w:sz w:val="22"/>
          <w:szCs w:val="22"/>
        </w:rPr>
        <w:t>. We estimate that a strong BIT</w:t>
      </w:r>
      <w:r w:rsidR="002859D8" w:rsidRPr="00B54BC7">
        <w:rPr>
          <w:rFonts w:asciiTheme="minorHAnsi" w:hAnsiTheme="minorHAnsi" w:cs="Courier New"/>
          <w:sz w:val="22"/>
          <w:szCs w:val="22"/>
        </w:rPr>
        <w:t xml:space="preserve">, </w:t>
      </w:r>
      <w:r>
        <w:rPr>
          <w:rFonts w:asciiTheme="minorHAnsi" w:hAnsiTheme="minorHAnsi" w:cs="Courier New"/>
          <w:sz w:val="22"/>
          <w:szCs w:val="22"/>
        </w:rPr>
        <w:t>measured by the included ISDS prov</w:t>
      </w:r>
      <w:r>
        <w:rPr>
          <w:rFonts w:asciiTheme="minorHAnsi" w:hAnsiTheme="minorHAnsi" w:cs="Courier New"/>
          <w:sz w:val="22"/>
          <w:szCs w:val="22"/>
        </w:rPr>
        <w:t>i</w:t>
      </w:r>
      <w:r>
        <w:rPr>
          <w:rFonts w:asciiTheme="minorHAnsi" w:hAnsiTheme="minorHAnsi" w:cs="Courier New"/>
          <w:sz w:val="22"/>
          <w:szCs w:val="22"/>
        </w:rPr>
        <w:t xml:space="preserve">sions increase </w:t>
      </w:r>
      <w:r w:rsidR="002859D8" w:rsidRPr="00B54BC7">
        <w:rPr>
          <w:rFonts w:asciiTheme="minorHAnsi" w:hAnsiTheme="minorHAnsi" w:cs="Courier New"/>
          <w:sz w:val="22"/>
          <w:szCs w:val="22"/>
        </w:rPr>
        <w:t>FDI by an a</w:t>
      </w:r>
      <w:r w:rsidR="002859D8">
        <w:rPr>
          <w:rFonts w:asciiTheme="minorHAnsi" w:hAnsiTheme="minorHAnsi" w:cs="Courier New"/>
          <w:sz w:val="22"/>
          <w:szCs w:val="22"/>
        </w:rPr>
        <w:t>pproximately 73</w:t>
      </w:r>
      <w:r w:rsidR="008425C8">
        <w:rPr>
          <w:rFonts w:asciiTheme="minorHAnsi" w:hAnsiTheme="minorHAnsi" w:cs="Courier New"/>
          <w:sz w:val="22"/>
          <w:szCs w:val="22"/>
        </w:rPr>
        <w:t>%</w:t>
      </w:r>
      <w:r w:rsidR="002859D8">
        <w:rPr>
          <w:rFonts w:asciiTheme="minorHAnsi" w:hAnsiTheme="minorHAnsi" w:cs="Courier New"/>
          <w:sz w:val="22"/>
          <w:szCs w:val="22"/>
        </w:rPr>
        <w:t xml:space="preserve"> </w:t>
      </w:r>
      <w:r>
        <w:rPr>
          <w:rFonts w:asciiTheme="minorHAnsi" w:hAnsiTheme="minorHAnsi" w:cs="Courier New"/>
          <w:sz w:val="22"/>
          <w:szCs w:val="22"/>
        </w:rPr>
        <w:t xml:space="preserve">which is </w:t>
      </w:r>
      <w:r w:rsidR="002859D8">
        <w:rPr>
          <w:rFonts w:asciiTheme="minorHAnsi" w:hAnsiTheme="minorHAnsi" w:cs="Courier New"/>
          <w:sz w:val="22"/>
          <w:szCs w:val="22"/>
        </w:rPr>
        <w:t>statistically significant at a 1% level.</w:t>
      </w:r>
      <w:r w:rsidR="002859D8" w:rsidRPr="005D796F">
        <w:t xml:space="preserve"> </w:t>
      </w:r>
      <w:r w:rsidR="002859D8">
        <w:rPr>
          <w:rFonts w:asciiTheme="minorHAnsi" w:hAnsiTheme="minorHAnsi" w:cs="Courier New"/>
          <w:sz w:val="22"/>
          <w:szCs w:val="22"/>
        </w:rPr>
        <w:t>Th</w:t>
      </w:r>
      <w:r>
        <w:rPr>
          <w:rFonts w:asciiTheme="minorHAnsi" w:hAnsiTheme="minorHAnsi" w:cs="Courier New"/>
          <w:sz w:val="22"/>
          <w:szCs w:val="22"/>
        </w:rPr>
        <w:t xml:space="preserve">is </w:t>
      </w:r>
      <w:r w:rsidR="002859D8">
        <w:rPr>
          <w:rFonts w:asciiTheme="minorHAnsi" w:hAnsiTheme="minorHAnsi" w:cs="Courier New"/>
          <w:sz w:val="22"/>
          <w:szCs w:val="22"/>
        </w:rPr>
        <w:t xml:space="preserve">result </w:t>
      </w:r>
      <w:r>
        <w:rPr>
          <w:rFonts w:asciiTheme="minorHAnsi" w:hAnsiTheme="minorHAnsi" w:cs="Courier New"/>
          <w:sz w:val="22"/>
          <w:szCs w:val="22"/>
        </w:rPr>
        <w:t>holds if we i</w:t>
      </w:r>
      <w:r w:rsidR="002859D8">
        <w:rPr>
          <w:rFonts w:asciiTheme="minorHAnsi" w:hAnsiTheme="minorHAnsi" w:cs="Courier New"/>
          <w:sz w:val="22"/>
          <w:szCs w:val="22"/>
        </w:rPr>
        <w:t>nclud</w:t>
      </w:r>
      <w:r>
        <w:rPr>
          <w:rFonts w:asciiTheme="minorHAnsi" w:hAnsiTheme="minorHAnsi" w:cs="Courier New"/>
          <w:sz w:val="22"/>
          <w:szCs w:val="22"/>
        </w:rPr>
        <w:t xml:space="preserve">e </w:t>
      </w:r>
      <w:r w:rsidR="002859D8">
        <w:rPr>
          <w:rFonts w:asciiTheme="minorHAnsi" w:hAnsiTheme="minorHAnsi" w:cs="Courier New"/>
          <w:sz w:val="22"/>
          <w:szCs w:val="22"/>
        </w:rPr>
        <w:t>country-year fixed effects. While the impact of weak BITs is estimated as being pos</w:t>
      </w:r>
      <w:r w:rsidR="002859D8">
        <w:rPr>
          <w:rFonts w:asciiTheme="minorHAnsi" w:hAnsiTheme="minorHAnsi" w:cs="Courier New"/>
          <w:sz w:val="22"/>
          <w:szCs w:val="22"/>
        </w:rPr>
        <w:t>i</w:t>
      </w:r>
      <w:r w:rsidR="002859D8">
        <w:rPr>
          <w:rFonts w:asciiTheme="minorHAnsi" w:hAnsiTheme="minorHAnsi" w:cs="Courier New"/>
          <w:sz w:val="22"/>
          <w:szCs w:val="22"/>
        </w:rPr>
        <w:t>tive, it displays little statistical significance</w:t>
      </w:r>
      <w:r w:rsidR="00C27207">
        <w:rPr>
          <w:rFonts w:asciiTheme="minorHAnsi" w:hAnsiTheme="minorHAnsi" w:cs="Courier New"/>
          <w:sz w:val="22"/>
          <w:szCs w:val="22"/>
        </w:rPr>
        <w:t xml:space="preserve"> when accounting for country-year fixed effects</w:t>
      </w:r>
      <w:r w:rsidR="002859D8">
        <w:rPr>
          <w:rFonts w:asciiTheme="minorHAnsi" w:hAnsiTheme="minorHAnsi" w:cs="Courier New"/>
          <w:sz w:val="22"/>
          <w:szCs w:val="22"/>
        </w:rPr>
        <w:t>.</w:t>
      </w:r>
      <w:r w:rsidR="002859D8" w:rsidRPr="00B54BC7">
        <w:rPr>
          <w:rFonts w:asciiTheme="minorHAnsi" w:hAnsiTheme="minorHAnsi" w:cs="Courier New"/>
          <w:sz w:val="22"/>
          <w:szCs w:val="22"/>
        </w:rPr>
        <w:t xml:space="preserve"> </w:t>
      </w:r>
      <w:r w:rsidR="002859D8">
        <w:rPr>
          <w:rFonts w:asciiTheme="minorHAnsi" w:hAnsiTheme="minorHAnsi" w:cs="Courier New"/>
          <w:sz w:val="22"/>
          <w:szCs w:val="22"/>
        </w:rPr>
        <w:t xml:space="preserve">Our findings mirror those by </w:t>
      </w:r>
      <w:r w:rsidR="002859D8" w:rsidRPr="00B54BC7">
        <w:rPr>
          <w:rFonts w:asciiTheme="minorHAnsi" w:hAnsiTheme="minorHAnsi" w:cs="Courier New"/>
          <w:sz w:val="22"/>
          <w:szCs w:val="22"/>
        </w:rPr>
        <w:t xml:space="preserve">Osnago, </w:t>
      </w:r>
      <w:r w:rsidR="002859D8">
        <w:rPr>
          <w:rFonts w:asciiTheme="minorHAnsi" w:hAnsiTheme="minorHAnsi" w:cs="Courier New"/>
          <w:sz w:val="22"/>
          <w:szCs w:val="22"/>
        </w:rPr>
        <w:t>Rochta and Ruta (2015)</w:t>
      </w:r>
      <w:r>
        <w:rPr>
          <w:rFonts w:asciiTheme="minorHAnsi" w:hAnsiTheme="minorHAnsi" w:cs="Courier New"/>
          <w:sz w:val="22"/>
          <w:szCs w:val="22"/>
        </w:rPr>
        <w:t xml:space="preserve"> for trade</w:t>
      </w:r>
      <w:r w:rsidR="002859D8">
        <w:rPr>
          <w:rFonts w:asciiTheme="minorHAnsi" w:hAnsiTheme="minorHAnsi" w:cs="Courier New"/>
          <w:sz w:val="22"/>
          <w:szCs w:val="22"/>
        </w:rPr>
        <w:t>, as, just like for PTAs, the content of BITs will determine their usefulness.</w:t>
      </w:r>
    </w:p>
    <w:p w:rsidR="002859D8" w:rsidRPr="00B54BC7" w:rsidRDefault="00296501" w:rsidP="008425C8">
      <w:pPr>
        <w:pStyle w:val="PlainText"/>
        <w:spacing w:after="120" w:line="360" w:lineRule="auto"/>
        <w:jc w:val="both"/>
        <w:rPr>
          <w:rFonts w:asciiTheme="minorHAnsi" w:hAnsiTheme="minorHAnsi" w:cs="Courier New"/>
          <w:sz w:val="22"/>
          <w:szCs w:val="22"/>
        </w:rPr>
      </w:pPr>
      <w:r>
        <w:rPr>
          <w:rFonts w:asciiTheme="minorHAnsi" w:hAnsiTheme="minorHAnsi" w:cs="Courier New"/>
          <w:sz w:val="22"/>
          <w:szCs w:val="22"/>
        </w:rPr>
        <w:t>As one possible extension, controlling</w:t>
      </w:r>
      <w:r w:rsidR="002859D8" w:rsidRPr="00B54BC7">
        <w:rPr>
          <w:rFonts w:asciiTheme="minorHAnsi" w:hAnsiTheme="minorHAnsi" w:cs="Courier New"/>
          <w:sz w:val="22"/>
          <w:szCs w:val="22"/>
        </w:rPr>
        <w:t xml:space="preserve"> for the industry in which FDI takes place stands out as an i</w:t>
      </w:r>
      <w:r w:rsidR="002859D8" w:rsidRPr="00B54BC7">
        <w:rPr>
          <w:rFonts w:asciiTheme="minorHAnsi" w:hAnsiTheme="minorHAnsi" w:cs="Courier New"/>
          <w:sz w:val="22"/>
          <w:szCs w:val="22"/>
        </w:rPr>
        <w:t>m</w:t>
      </w:r>
      <w:r w:rsidR="002859D8" w:rsidRPr="00B54BC7">
        <w:rPr>
          <w:rFonts w:asciiTheme="minorHAnsi" w:hAnsiTheme="minorHAnsi" w:cs="Courier New"/>
          <w:sz w:val="22"/>
          <w:szCs w:val="22"/>
        </w:rPr>
        <w:t>portant factor in theoretical papers, particularly when it comes to explaining verti</w:t>
      </w:r>
      <w:r>
        <w:rPr>
          <w:rFonts w:asciiTheme="minorHAnsi" w:hAnsiTheme="minorHAnsi" w:cs="Courier New"/>
          <w:sz w:val="22"/>
          <w:szCs w:val="22"/>
        </w:rPr>
        <w:t>cal FDI</w:t>
      </w:r>
      <w:r w:rsidR="002859D8" w:rsidRPr="00B54BC7">
        <w:rPr>
          <w:rFonts w:asciiTheme="minorHAnsi" w:hAnsiTheme="minorHAnsi" w:cs="Courier New"/>
          <w:sz w:val="22"/>
          <w:szCs w:val="22"/>
        </w:rPr>
        <w:t>. As such, e</w:t>
      </w:r>
      <w:r w:rsidR="002859D8" w:rsidRPr="00B54BC7">
        <w:rPr>
          <w:rFonts w:asciiTheme="minorHAnsi" w:hAnsiTheme="minorHAnsi" w:cs="Courier New"/>
          <w:sz w:val="22"/>
          <w:szCs w:val="22"/>
        </w:rPr>
        <w:t>s</w:t>
      </w:r>
      <w:r w:rsidR="002859D8" w:rsidRPr="00B54BC7">
        <w:rPr>
          <w:rFonts w:asciiTheme="minorHAnsi" w:hAnsiTheme="minorHAnsi" w:cs="Courier New"/>
          <w:sz w:val="22"/>
          <w:szCs w:val="22"/>
        </w:rPr>
        <w:t xml:space="preserve">timates </w:t>
      </w:r>
      <w:r>
        <w:rPr>
          <w:rFonts w:asciiTheme="minorHAnsi" w:hAnsiTheme="minorHAnsi" w:cs="Courier New"/>
          <w:sz w:val="22"/>
          <w:szCs w:val="22"/>
        </w:rPr>
        <w:t>for</w:t>
      </w:r>
      <w:r w:rsidR="002859D8" w:rsidRPr="00B54BC7">
        <w:rPr>
          <w:rFonts w:asciiTheme="minorHAnsi" w:hAnsiTheme="minorHAnsi" w:cs="Courier New"/>
          <w:sz w:val="22"/>
          <w:szCs w:val="22"/>
        </w:rPr>
        <w:t xml:space="preserve"> the importance of BITs and ISDS may hinge on the </w:t>
      </w:r>
      <w:r w:rsidR="002859D8">
        <w:rPr>
          <w:rFonts w:asciiTheme="minorHAnsi" w:hAnsiTheme="minorHAnsi" w:cs="Courier New"/>
          <w:sz w:val="22"/>
          <w:szCs w:val="22"/>
        </w:rPr>
        <w:t>sectoral makeup of a particular country</w:t>
      </w:r>
      <w:r w:rsidR="002859D8" w:rsidRPr="00B54BC7">
        <w:rPr>
          <w:rFonts w:asciiTheme="minorHAnsi" w:hAnsiTheme="minorHAnsi" w:cs="Courier New"/>
          <w:sz w:val="22"/>
          <w:szCs w:val="22"/>
        </w:rPr>
        <w:t xml:space="preserve">; the effect of intellectual property rights, and effective methods to protect these, will likely impact FDI </w:t>
      </w:r>
      <w:r w:rsidR="002859D8" w:rsidRPr="00B54BC7">
        <w:rPr>
          <w:rFonts w:asciiTheme="minorHAnsi" w:hAnsiTheme="minorHAnsi" w:cs="Courier New"/>
          <w:sz w:val="22"/>
          <w:szCs w:val="22"/>
        </w:rPr>
        <w:lastRenderedPageBreak/>
        <w:t>in the creative service sector substantially more than, say, in the manufacturing sector</w:t>
      </w:r>
      <w:r>
        <w:rPr>
          <w:rFonts w:asciiTheme="minorHAnsi" w:hAnsiTheme="minorHAnsi" w:cs="Courier New"/>
          <w:sz w:val="22"/>
          <w:szCs w:val="22"/>
        </w:rPr>
        <w:t xml:space="preserve">. </w:t>
      </w:r>
      <w:r w:rsidR="002859D8" w:rsidRPr="00B54BC7">
        <w:rPr>
          <w:rFonts w:asciiTheme="minorHAnsi" w:hAnsiTheme="minorHAnsi" w:cs="Courier New"/>
          <w:sz w:val="22"/>
          <w:szCs w:val="22"/>
        </w:rPr>
        <w:t>Furthermore, the UNCTAD's IIA Mapping Project is an ongoing project, and there are a number of extra treaties that are not mapped as of now, which could</w:t>
      </w:r>
      <w:r w:rsidR="002859D8">
        <w:rPr>
          <w:rFonts w:asciiTheme="minorHAnsi" w:hAnsiTheme="minorHAnsi" w:cs="Courier New"/>
          <w:sz w:val="22"/>
          <w:szCs w:val="22"/>
        </w:rPr>
        <w:t xml:space="preserve"> offer some additional insight.</w:t>
      </w:r>
    </w:p>
    <w:p w:rsidR="00CC400F" w:rsidRDefault="002859D8" w:rsidP="008425C8">
      <w:pPr>
        <w:pStyle w:val="PlainText"/>
        <w:spacing w:after="120" w:line="360" w:lineRule="auto"/>
        <w:jc w:val="both"/>
        <w:rPr>
          <w:rFonts w:asciiTheme="minorHAnsi" w:hAnsiTheme="minorHAnsi" w:cs="Courier New"/>
          <w:sz w:val="22"/>
          <w:szCs w:val="22"/>
        </w:rPr>
      </w:pPr>
      <w:r w:rsidRPr="00B54BC7">
        <w:rPr>
          <w:rFonts w:asciiTheme="minorHAnsi" w:hAnsiTheme="minorHAnsi" w:cs="Courier New"/>
          <w:sz w:val="22"/>
          <w:szCs w:val="22"/>
        </w:rPr>
        <w:t xml:space="preserve">OECD members looking to promote inward FDI </w:t>
      </w:r>
      <w:r w:rsidR="00CC400F">
        <w:rPr>
          <w:rFonts w:asciiTheme="minorHAnsi" w:hAnsiTheme="minorHAnsi" w:cs="Courier New"/>
          <w:sz w:val="22"/>
          <w:szCs w:val="22"/>
        </w:rPr>
        <w:t xml:space="preserve">may consider signing </w:t>
      </w:r>
      <w:r w:rsidRPr="00B54BC7">
        <w:rPr>
          <w:rFonts w:asciiTheme="minorHAnsi" w:hAnsiTheme="minorHAnsi" w:cs="Courier New"/>
          <w:sz w:val="22"/>
          <w:szCs w:val="22"/>
        </w:rPr>
        <w:t xml:space="preserve">BITs </w:t>
      </w:r>
      <w:r w:rsidR="00CC400F">
        <w:rPr>
          <w:rFonts w:asciiTheme="minorHAnsi" w:hAnsiTheme="minorHAnsi" w:cs="Courier New"/>
          <w:sz w:val="22"/>
          <w:szCs w:val="22"/>
        </w:rPr>
        <w:t xml:space="preserve">that are </w:t>
      </w:r>
      <w:r w:rsidRPr="00B54BC7">
        <w:rPr>
          <w:rFonts w:asciiTheme="minorHAnsi" w:hAnsiTheme="minorHAnsi" w:cs="Courier New"/>
          <w:sz w:val="22"/>
          <w:szCs w:val="22"/>
        </w:rPr>
        <w:t>stringent</w:t>
      </w:r>
      <w:r w:rsidR="00CC400F">
        <w:rPr>
          <w:rFonts w:asciiTheme="minorHAnsi" w:hAnsiTheme="minorHAnsi" w:cs="Courier New"/>
          <w:sz w:val="22"/>
          <w:szCs w:val="22"/>
        </w:rPr>
        <w:t xml:space="preserve"> in terms of </w:t>
      </w:r>
      <w:r w:rsidRPr="00B54BC7">
        <w:rPr>
          <w:rFonts w:asciiTheme="minorHAnsi" w:hAnsiTheme="minorHAnsi" w:cs="Courier New"/>
          <w:sz w:val="22"/>
          <w:szCs w:val="22"/>
        </w:rPr>
        <w:t xml:space="preserve">offering ISDS </w:t>
      </w:r>
      <w:r w:rsidR="00CC400F">
        <w:rPr>
          <w:rFonts w:asciiTheme="minorHAnsi" w:hAnsiTheme="minorHAnsi" w:cs="Courier New"/>
          <w:sz w:val="22"/>
          <w:szCs w:val="22"/>
        </w:rPr>
        <w:t>investor protection provisions. However, public opinion may consider that such prov</w:t>
      </w:r>
      <w:r w:rsidR="00CC400F">
        <w:rPr>
          <w:rFonts w:asciiTheme="minorHAnsi" w:hAnsiTheme="minorHAnsi" w:cs="Courier New"/>
          <w:sz w:val="22"/>
          <w:szCs w:val="22"/>
        </w:rPr>
        <w:t>i</w:t>
      </w:r>
      <w:r w:rsidR="00CC400F">
        <w:rPr>
          <w:rFonts w:asciiTheme="minorHAnsi" w:hAnsiTheme="minorHAnsi" w:cs="Courier New"/>
          <w:sz w:val="22"/>
          <w:szCs w:val="22"/>
        </w:rPr>
        <w:t>sions compromise the policy domain of their governments. As the UK is the third largest recipient and donor of FDI in the world, this will be an important consideration when negotiating trade and inves</w:t>
      </w:r>
      <w:r w:rsidR="00CC400F">
        <w:rPr>
          <w:rFonts w:asciiTheme="minorHAnsi" w:hAnsiTheme="minorHAnsi" w:cs="Courier New"/>
          <w:sz w:val="22"/>
          <w:szCs w:val="22"/>
        </w:rPr>
        <w:t>t</w:t>
      </w:r>
      <w:r w:rsidR="00CC400F">
        <w:rPr>
          <w:rFonts w:asciiTheme="minorHAnsi" w:hAnsiTheme="minorHAnsi" w:cs="Courier New"/>
          <w:sz w:val="22"/>
          <w:szCs w:val="22"/>
        </w:rPr>
        <w:t>ment agreements after leaving the EU.</w:t>
      </w:r>
    </w:p>
    <w:p w:rsidR="00CC400F" w:rsidRDefault="00CC400F">
      <w:pPr>
        <w:rPr>
          <w:rFonts w:cs="Courier New"/>
        </w:rPr>
      </w:pPr>
      <w:r>
        <w:rPr>
          <w:rFonts w:cs="Courier New"/>
        </w:rPr>
        <w:br w:type="page"/>
      </w:r>
    </w:p>
    <w:p w:rsidR="002859D8" w:rsidRPr="00971AC8" w:rsidRDefault="002859D8" w:rsidP="00971AC8">
      <w:pPr>
        <w:pStyle w:val="PlainText"/>
        <w:spacing w:line="360" w:lineRule="auto"/>
        <w:jc w:val="both"/>
        <w:rPr>
          <w:rFonts w:asciiTheme="minorHAnsi" w:hAnsiTheme="minorHAnsi" w:cs="Courier New"/>
          <w:b/>
          <w:sz w:val="22"/>
          <w:szCs w:val="22"/>
        </w:rPr>
      </w:pPr>
      <w:r>
        <w:rPr>
          <w:rFonts w:asciiTheme="minorHAnsi" w:hAnsiTheme="minorHAnsi" w:cs="Courier New"/>
          <w:b/>
          <w:sz w:val="22"/>
          <w:szCs w:val="22"/>
        </w:rPr>
        <w:lastRenderedPageBreak/>
        <w:t>Bibliography</w:t>
      </w:r>
    </w:p>
    <w:p w:rsidR="002859D8" w:rsidRPr="00B54BC7" w:rsidRDefault="002859D8" w:rsidP="00842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Courier New"/>
          <w:color w:val="000000"/>
          <w:lang w:eastAsia="en-GB"/>
        </w:rPr>
      </w:pPr>
      <w:r w:rsidRPr="00B54BC7">
        <w:rPr>
          <w:rFonts w:eastAsia="Times New Roman" w:cs="Courier New"/>
          <w:color w:val="000000"/>
          <w:lang w:eastAsia="en-GB"/>
        </w:rPr>
        <w:t>Antr</w:t>
      </w:r>
      <w:r>
        <w:rPr>
          <w:rFonts w:eastAsia="Times New Roman" w:cs="Courier New"/>
          <w:color w:val="000000"/>
          <w:lang w:eastAsia="en-GB"/>
        </w:rPr>
        <w:t>à</w:t>
      </w:r>
      <w:r w:rsidRPr="00B54BC7">
        <w:rPr>
          <w:rFonts w:eastAsia="Times New Roman" w:cs="Courier New"/>
          <w:color w:val="000000"/>
          <w:lang w:eastAsia="en-GB"/>
        </w:rPr>
        <w:t xml:space="preserve">s, P. and Helpman, E. (2004), `Global Sourcing', </w:t>
      </w:r>
      <w:r w:rsidRPr="00B54BC7">
        <w:rPr>
          <w:rFonts w:eastAsia="Times New Roman" w:cs="Courier New"/>
          <w:i/>
          <w:color w:val="000000"/>
          <w:lang w:eastAsia="en-GB"/>
        </w:rPr>
        <w:t>Journal of Political Economy</w:t>
      </w:r>
      <w:r w:rsidRPr="00B54BC7">
        <w:rPr>
          <w:rFonts w:eastAsia="Times New Roman" w:cs="Courier New"/>
          <w:color w:val="000000"/>
          <w:lang w:eastAsia="en-GB"/>
        </w:rPr>
        <w:t>, vol. 112, no. 3, pp. 552-580.</w:t>
      </w:r>
    </w:p>
    <w:p w:rsidR="002859D8" w:rsidRPr="00B54BC7" w:rsidRDefault="002859D8" w:rsidP="00842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Courier New"/>
          <w:color w:val="000000"/>
          <w:lang w:eastAsia="en-GB"/>
        </w:rPr>
      </w:pPr>
      <w:r w:rsidRPr="00B54BC7">
        <w:rPr>
          <w:rFonts w:eastAsia="Times New Roman" w:cs="Courier New"/>
          <w:color w:val="000000"/>
          <w:lang w:eastAsia="en-GB"/>
        </w:rPr>
        <w:t>Antr</w:t>
      </w:r>
      <w:r>
        <w:rPr>
          <w:rFonts w:eastAsia="Times New Roman" w:cs="Courier New"/>
          <w:color w:val="000000"/>
          <w:lang w:eastAsia="en-GB"/>
        </w:rPr>
        <w:t>à</w:t>
      </w:r>
      <w:r w:rsidRPr="00B54BC7">
        <w:rPr>
          <w:rFonts w:eastAsia="Times New Roman" w:cs="Courier New"/>
          <w:color w:val="000000"/>
          <w:lang w:eastAsia="en-GB"/>
        </w:rPr>
        <w:t xml:space="preserve">s, P. and Helpman, E. (2008), `Contractual Frictions and Global Sourcing', in Helpman, E., Marin, D., and Verdier, T. (eds), </w:t>
      </w:r>
      <w:r w:rsidRPr="005F3F2C">
        <w:rPr>
          <w:rFonts w:eastAsia="Times New Roman" w:cs="Courier New"/>
          <w:color w:val="000000"/>
          <w:lang w:eastAsia="en-GB"/>
        </w:rPr>
        <w:t>The Organization of Firms in a Global Economy</w:t>
      </w:r>
      <w:r w:rsidRPr="00B54BC7">
        <w:rPr>
          <w:rFonts w:eastAsia="Times New Roman" w:cs="Courier New"/>
          <w:color w:val="000000"/>
          <w:lang w:eastAsia="en-GB"/>
        </w:rPr>
        <w:t>,  Ha</w:t>
      </w:r>
      <w:r>
        <w:rPr>
          <w:rFonts w:eastAsia="Times New Roman" w:cs="Courier New"/>
          <w:color w:val="000000"/>
          <w:lang w:eastAsia="en-GB"/>
        </w:rPr>
        <w:t xml:space="preserve">rvard University Press: 9-54.  </w:t>
      </w:r>
    </w:p>
    <w:p w:rsidR="002859D8" w:rsidRPr="00B54BC7" w:rsidRDefault="002859D8" w:rsidP="00842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Courier New"/>
          <w:color w:val="000000"/>
          <w:lang w:eastAsia="en-GB"/>
        </w:rPr>
      </w:pPr>
      <w:r w:rsidRPr="00B54BC7">
        <w:rPr>
          <w:rFonts w:eastAsia="Times New Roman" w:cs="Courier New"/>
          <w:color w:val="000000"/>
          <w:lang w:eastAsia="en-GB"/>
        </w:rPr>
        <w:t>Antr</w:t>
      </w:r>
      <w:r>
        <w:rPr>
          <w:rFonts w:eastAsia="Times New Roman" w:cs="Courier New"/>
          <w:color w:val="000000"/>
          <w:lang w:eastAsia="en-GB"/>
        </w:rPr>
        <w:t>à</w:t>
      </w:r>
      <w:r w:rsidRPr="00B54BC7">
        <w:rPr>
          <w:rFonts w:eastAsia="Times New Roman" w:cs="Courier New"/>
          <w:color w:val="000000"/>
          <w:lang w:eastAsia="en-GB"/>
        </w:rPr>
        <w:t>s, P. and Yeaple, S.R. (2013), `Multinational Firms and the Structure of International Trade', N</w:t>
      </w:r>
      <w:r w:rsidRPr="00B54BC7">
        <w:rPr>
          <w:rFonts w:eastAsia="Times New Roman" w:cs="Courier New"/>
          <w:color w:val="000000"/>
          <w:lang w:eastAsia="en-GB"/>
        </w:rPr>
        <w:t>a</w:t>
      </w:r>
      <w:r w:rsidRPr="00B54BC7">
        <w:rPr>
          <w:rFonts w:eastAsia="Times New Roman" w:cs="Courier New"/>
          <w:color w:val="000000"/>
          <w:lang w:eastAsia="en-GB"/>
        </w:rPr>
        <w:t>tional Bureau of Economic Research (</w:t>
      </w:r>
      <w:r>
        <w:rPr>
          <w:rFonts w:eastAsia="Times New Roman" w:cs="Courier New"/>
          <w:color w:val="000000"/>
          <w:lang w:eastAsia="en-GB"/>
        </w:rPr>
        <w:t>NBER), Working Paper no. 18775.</w:t>
      </w:r>
    </w:p>
    <w:p w:rsidR="002859D8" w:rsidRDefault="002859D8" w:rsidP="00842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Courier New"/>
          <w:color w:val="000000"/>
          <w:lang w:eastAsia="en-GB"/>
        </w:rPr>
      </w:pPr>
      <w:r w:rsidRPr="00B54BC7">
        <w:rPr>
          <w:rFonts w:eastAsia="Times New Roman" w:cs="Courier New"/>
          <w:color w:val="000000"/>
          <w:lang w:eastAsia="en-GB"/>
        </w:rPr>
        <w:t>Berger, A., Busse, M., Nunnenkamp, P. and Roy, M. (2011), `More Stringent BITs, less ambiguoug e</w:t>
      </w:r>
      <w:r w:rsidRPr="00B54BC7">
        <w:rPr>
          <w:rFonts w:eastAsia="Times New Roman" w:cs="Courier New"/>
          <w:color w:val="000000"/>
          <w:lang w:eastAsia="en-GB"/>
        </w:rPr>
        <w:t>f</w:t>
      </w:r>
      <w:r w:rsidRPr="00B54BC7">
        <w:rPr>
          <w:rFonts w:eastAsia="Times New Roman" w:cs="Courier New"/>
          <w:color w:val="000000"/>
          <w:lang w:eastAsia="en-GB"/>
        </w:rPr>
        <w:t xml:space="preserve">fects on FDI? Not a Bit!', </w:t>
      </w:r>
      <w:r w:rsidRPr="005F3F2C">
        <w:rPr>
          <w:rFonts w:eastAsia="Times New Roman" w:cs="Courier New"/>
          <w:color w:val="000000"/>
          <w:lang w:eastAsia="en-GB"/>
        </w:rPr>
        <w:t>Economic Letters</w:t>
      </w:r>
      <w:r w:rsidRPr="00B54BC7">
        <w:rPr>
          <w:rFonts w:eastAsia="Times New Roman" w:cs="Courier New"/>
          <w:color w:val="000000"/>
          <w:lang w:eastAsia="en-GB"/>
        </w:rPr>
        <w:t>, vol. 112(3), pp. 270-272.</w:t>
      </w:r>
    </w:p>
    <w:p w:rsidR="002859D8" w:rsidRPr="00B54BC7" w:rsidRDefault="002859D8" w:rsidP="00842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Courier New"/>
          <w:color w:val="000000"/>
          <w:lang w:eastAsia="en-GB"/>
        </w:rPr>
      </w:pPr>
      <w:r w:rsidRPr="005F3F2C">
        <w:rPr>
          <w:rFonts w:eastAsia="Times New Roman" w:cs="Courier New"/>
          <w:color w:val="000000"/>
          <w:lang w:eastAsia="en-GB"/>
        </w:rPr>
        <w:t>Casper, Gretchen, and Claudiu Tufis. 2003. “Correlation Versus Interchangeability: the Limited Robus</w:t>
      </w:r>
      <w:r w:rsidRPr="005F3F2C">
        <w:rPr>
          <w:rFonts w:eastAsia="Times New Roman" w:cs="Courier New"/>
          <w:color w:val="000000"/>
          <w:lang w:eastAsia="en-GB"/>
        </w:rPr>
        <w:t>t</w:t>
      </w:r>
      <w:r w:rsidRPr="005F3F2C">
        <w:rPr>
          <w:rFonts w:eastAsia="Times New Roman" w:cs="Courier New"/>
          <w:color w:val="000000"/>
          <w:lang w:eastAsia="en-GB"/>
        </w:rPr>
        <w:t>ness of Empirical Finding on Democracy Using Highly Correlated Data Sets.” Political Analysis 11: 196-203.</w:t>
      </w:r>
    </w:p>
    <w:p w:rsidR="002859D8" w:rsidRPr="00B54BC7" w:rsidRDefault="002859D8" w:rsidP="00842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Courier New"/>
          <w:color w:val="000000"/>
          <w:lang w:eastAsia="en-GB"/>
        </w:rPr>
      </w:pPr>
      <w:r w:rsidRPr="00B54BC7">
        <w:rPr>
          <w:rFonts w:eastAsia="Times New Roman" w:cs="Courier New"/>
          <w:color w:val="000000"/>
          <w:lang w:eastAsia="en-GB"/>
        </w:rPr>
        <w:t xml:space="preserve">Collins, D. (2017), </w:t>
      </w:r>
      <w:r w:rsidRPr="005F3F2C">
        <w:rPr>
          <w:rFonts w:eastAsia="Times New Roman" w:cs="Courier New"/>
          <w:color w:val="000000"/>
          <w:lang w:eastAsia="en-GB"/>
        </w:rPr>
        <w:t>An Introduction to International Investment Law</w:t>
      </w:r>
      <w:r>
        <w:rPr>
          <w:rFonts w:eastAsia="Times New Roman" w:cs="Courier New"/>
          <w:color w:val="000000"/>
          <w:lang w:eastAsia="en-GB"/>
        </w:rPr>
        <w:t>, Cambridge University Press.</w:t>
      </w:r>
    </w:p>
    <w:p w:rsidR="002859D8" w:rsidRPr="00B54BC7" w:rsidRDefault="002859D8" w:rsidP="00842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Courier New"/>
          <w:color w:val="000000"/>
          <w:lang w:eastAsia="en-GB"/>
        </w:rPr>
      </w:pPr>
      <w:r w:rsidRPr="00B54BC7">
        <w:rPr>
          <w:rFonts w:eastAsia="Times New Roman" w:cs="Courier New"/>
          <w:color w:val="000000"/>
          <w:lang w:eastAsia="en-GB"/>
        </w:rPr>
        <w:t>Hallward-Driemeier, M. (2003), `Do Bilateral Investment Treaties Attract FDI? Only a bit… and they could bite', World Bank Group, Policy</w:t>
      </w:r>
      <w:r>
        <w:rPr>
          <w:rFonts w:eastAsia="Times New Roman" w:cs="Courier New"/>
          <w:color w:val="000000"/>
          <w:lang w:eastAsia="en-GB"/>
        </w:rPr>
        <w:t xml:space="preserve"> Research Paper, no. 3121.</w:t>
      </w:r>
    </w:p>
    <w:p w:rsidR="002859D8" w:rsidRPr="00B54BC7" w:rsidRDefault="002859D8" w:rsidP="00842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Courier New"/>
          <w:color w:val="000000"/>
          <w:lang w:eastAsia="en-GB"/>
        </w:rPr>
      </w:pPr>
      <w:r w:rsidRPr="00B54BC7">
        <w:rPr>
          <w:rFonts w:eastAsia="Times New Roman" w:cs="Courier New"/>
          <w:color w:val="000000"/>
          <w:lang w:eastAsia="en-GB"/>
        </w:rPr>
        <w:t xml:space="preserve">Helpman, E., Melitz, M.J. and Yeaple, S.R. (2004), `Export versus FDI with Heterogenous Firms', </w:t>
      </w:r>
      <w:r w:rsidRPr="005F3F2C">
        <w:rPr>
          <w:rFonts w:eastAsia="Times New Roman" w:cs="Courier New"/>
          <w:color w:val="000000"/>
          <w:lang w:eastAsia="en-GB"/>
        </w:rPr>
        <w:t>Amer</w:t>
      </w:r>
      <w:r w:rsidRPr="005F3F2C">
        <w:rPr>
          <w:rFonts w:eastAsia="Times New Roman" w:cs="Courier New"/>
          <w:color w:val="000000"/>
          <w:lang w:eastAsia="en-GB"/>
        </w:rPr>
        <w:t>i</w:t>
      </w:r>
      <w:r w:rsidRPr="005F3F2C">
        <w:rPr>
          <w:rFonts w:eastAsia="Times New Roman" w:cs="Courier New"/>
          <w:color w:val="000000"/>
          <w:lang w:eastAsia="en-GB"/>
        </w:rPr>
        <w:t>can Economic Review</w:t>
      </w:r>
      <w:r>
        <w:rPr>
          <w:rFonts w:eastAsia="Times New Roman" w:cs="Courier New"/>
          <w:color w:val="000000"/>
          <w:lang w:eastAsia="en-GB"/>
        </w:rPr>
        <w:t xml:space="preserve">, vol. 94(1), pp. 300-316. </w:t>
      </w:r>
    </w:p>
    <w:p w:rsidR="002859D8" w:rsidRPr="00B54BC7" w:rsidRDefault="002859D8" w:rsidP="00842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Courier New"/>
          <w:color w:val="000000"/>
          <w:lang w:eastAsia="en-GB"/>
        </w:rPr>
      </w:pPr>
      <w:r w:rsidRPr="00B54BC7">
        <w:rPr>
          <w:rFonts w:eastAsia="Times New Roman" w:cs="Courier New"/>
          <w:color w:val="000000"/>
          <w:lang w:eastAsia="en-GB"/>
        </w:rPr>
        <w:t xml:space="preserve">Neumayer, E. and Spess, L. (2005), `Do Bilateral Investment Treaties Increase Foreign Direct Investment to Developing Countries?', </w:t>
      </w:r>
      <w:r w:rsidRPr="005F3F2C">
        <w:rPr>
          <w:rFonts w:eastAsia="Times New Roman" w:cs="Courier New"/>
          <w:color w:val="000000"/>
          <w:lang w:eastAsia="en-GB"/>
        </w:rPr>
        <w:t>World Development</w:t>
      </w:r>
      <w:r>
        <w:rPr>
          <w:rFonts w:eastAsia="Times New Roman" w:cs="Courier New"/>
          <w:color w:val="000000"/>
          <w:lang w:eastAsia="en-GB"/>
        </w:rPr>
        <w:t>, vol. 33(10), pp. 1567-1585.</w:t>
      </w:r>
    </w:p>
    <w:p w:rsidR="002859D8" w:rsidRPr="00B54BC7" w:rsidRDefault="002859D8" w:rsidP="00842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Courier New"/>
          <w:color w:val="000000"/>
          <w:lang w:eastAsia="en-GB"/>
        </w:rPr>
      </w:pPr>
      <w:r w:rsidRPr="00B54BC7">
        <w:rPr>
          <w:rFonts w:eastAsia="Times New Roman" w:cs="Courier New"/>
          <w:color w:val="000000"/>
          <w:lang w:eastAsia="en-GB"/>
        </w:rPr>
        <w:t xml:space="preserve">OECD (2009), </w:t>
      </w:r>
      <w:r w:rsidRPr="005F3F2C">
        <w:rPr>
          <w:rFonts w:eastAsia="Times New Roman" w:cs="Courier New"/>
          <w:color w:val="000000"/>
          <w:lang w:eastAsia="en-GB"/>
        </w:rPr>
        <w:t>OECD Benchmark Definition of Foreign Direct Investment: Fourth Edition</w:t>
      </w:r>
      <w:r>
        <w:rPr>
          <w:rFonts w:eastAsia="Times New Roman" w:cs="Courier New"/>
          <w:color w:val="000000"/>
          <w:lang w:eastAsia="en-GB"/>
        </w:rPr>
        <w:t>, OECD Public</w:t>
      </w:r>
      <w:r>
        <w:rPr>
          <w:rFonts w:eastAsia="Times New Roman" w:cs="Courier New"/>
          <w:color w:val="000000"/>
          <w:lang w:eastAsia="en-GB"/>
        </w:rPr>
        <w:t>a</w:t>
      </w:r>
      <w:r>
        <w:rPr>
          <w:rFonts w:eastAsia="Times New Roman" w:cs="Courier New"/>
          <w:color w:val="000000"/>
          <w:lang w:eastAsia="en-GB"/>
        </w:rPr>
        <w:t>tion Center.</w:t>
      </w:r>
    </w:p>
    <w:p w:rsidR="002859D8" w:rsidRPr="00B54BC7" w:rsidRDefault="002859D8" w:rsidP="00842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Courier New"/>
          <w:color w:val="000000"/>
          <w:lang w:eastAsia="en-GB"/>
        </w:rPr>
      </w:pPr>
      <w:r w:rsidRPr="00B54BC7">
        <w:rPr>
          <w:rFonts w:eastAsia="Times New Roman" w:cs="Courier New"/>
          <w:color w:val="000000"/>
          <w:lang w:eastAsia="en-GB"/>
        </w:rPr>
        <w:t>OECD (2017), FDI flows (indicator). doi: 10.1787/99f6e39</w:t>
      </w:r>
      <w:r>
        <w:rPr>
          <w:rFonts w:eastAsia="Times New Roman" w:cs="Courier New"/>
          <w:color w:val="000000"/>
          <w:lang w:eastAsia="en-GB"/>
        </w:rPr>
        <w:t>3-en (Accessed on 03 May 2017).</w:t>
      </w:r>
    </w:p>
    <w:p w:rsidR="002859D8" w:rsidRPr="00B54BC7" w:rsidRDefault="002859D8" w:rsidP="00842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Courier New"/>
          <w:color w:val="000000"/>
          <w:lang w:eastAsia="en-GB"/>
        </w:rPr>
      </w:pPr>
      <w:r w:rsidRPr="00B54BC7">
        <w:rPr>
          <w:rFonts w:eastAsia="Times New Roman" w:cs="Courier New"/>
          <w:color w:val="000000"/>
          <w:lang w:eastAsia="en-GB"/>
        </w:rPr>
        <w:t xml:space="preserve">ONS (2014), `International perspective on UK foreign direct investment (FDI): 2014’, Office for National Statistics, url: </w:t>
      </w:r>
      <w:r>
        <w:rPr>
          <w:rFonts w:eastAsia="Times New Roman" w:cs="Courier New"/>
          <w:color w:val="000000"/>
          <w:lang w:eastAsia="en-GB"/>
        </w:rPr>
        <w:t>&lt;</w:t>
      </w:r>
      <w:r w:rsidRPr="00B54BC7">
        <w:rPr>
          <w:rFonts w:eastAsia="Times New Roman" w:cs="Courier New"/>
          <w:color w:val="000000"/>
          <w:lang w:eastAsia="en-GB"/>
        </w:rPr>
        <w:t>https://www.ons.gov.uk/eco</w:t>
      </w:r>
      <w:r>
        <w:rPr>
          <w:rFonts w:eastAsia="Times New Roman" w:cs="Courier New"/>
          <w:color w:val="000000"/>
          <w:lang w:eastAsia="en-GB"/>
        </w:rPr>
        <w:t>nomy/nationalaccounts/balanceof</w:t>
      </w:r>
      <w:r w:rsidRPr="00B54BC7">
        <w:rPr>
          <w:rFonts w:eastAsia="Times New Roman" w:cs="Courier New"/>
          <w:color w:val="000000"/>
          <w:lang w:eastAsia="en-GB"/>
        </w:rPr>
        <w:t>payments/articlesinterna</w:t>
      </w:r>
      <w:r w:rsidR="00C27207">
        <w:rPr>
          <w:rFonts w:eastAsia="Times New Roman" w:cs="Courier New"/>
          <w:color w:val="000000"/>
          <w:lang w:eastAsia="en-GB"/>
        </w:rPr>
        <w:t>tionalperspe</w:t>
      </w:r>
      <w:r w:rsidRPr="00B54BC7">
        <w:rPr>
          <w:rFonts w:eastAsia="Times New Roman" w:cs="Courier New"/>
          <w:color w:val="000000"/>
          <w:lang w:eastAsia="en-GB"/>
        </w:rPr>
        <w:t xml:space="preserve">ctiveonukforeigndirectinvestmentfdi/2014 </w:t>
      </w:r>
      <w:r>
        <w:rPr>
          <w:rFonts w:eastAsia="Times New Roman" w:cs="Courier New"/>
          <w:color w:val="000000"/>
          <w:lang w:eastAsia="en-GB"/>
        </w:rPr>
        <w:t>&gt; .</w:t>
      </w:r>
    </w:p>
    <w:p w:rsidR="002859D8" w:rsidRPr="00B54BC7" w:rsidRDefault="002859D8" w:rsidP="00842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Courier New"/>
          <w:color w:val="000000"/>
          <w:lang w:eastAsia="en-GB"/>
        </w:rPr>
      </w:pPr>
      <w:r w:rsidRPr="00B54BC7">
        <w:rPr>
          <w:rFonts w:eastAsia="Times New Roman" w:cs="Courier New"/>
          <w:color w:val="000000"/>
          <w:lang w:eastAsia="en-GB"/>
        </w:rPr>
        <w:t>Osnago, A., Rocha, N. and Ruta, M. (2015), `Deep Trade Agreements and Vertical FDI: The Devil Is in the Details', World Bank Group, Policy Re</w:t>
      </w:r>
      <w:r>
        <w:rPr>
          <w:rFonts w:eastAsia="Times New Roman" w:cs="Courier New"/>
          <w:color w:val="000000"/>
          <w:lang w:eastAsia="en-GB"/>
        </w:rPr>
        <w:t>search Working Paper, no. 7464.</w:t>
      </w:r>
    </w:p>
    <w:p w:rsidR="002859D8" w:rsidRPr="00B54BC7" w:rsidRDefault="002859D8" w:rsidP="00842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Courier New"/>
          <w:color w:val="000000"/>
          <w:lang w:eastAsia="en-GB"/>
        </w:rPr>
      </w:pPr>
      <w:r w:rsidRPr="00B54BC7">
        <w:rPr>
          <w:rFonts w:eastAsia="Times New Roman" w:cs="Courier New"/>
          <w:color w:val="000000"/>
          <w:lang w:eastAsia="en-GB"/>
        </w:rPr>
        <w:t xml:space="preserve">Santos Silva, J.M.C. and Tenreyro, S. (2006), `The Log of Gravity', </w:t>
      </w:r>
      <w:r w:rsidRPr="005F3F2C">
        <w:rPr>
          <w:rFonts w:eastAsia="Times New Roman" w:cs="Courier New"/>
          <w:color w:val="000000"/>
          <w:lang w:eastAsia="en-GB"/>
        </w:rPr>
        <w:t>The Review of Economics and Stati</w:t>
      </w:r>
      <w:r w:rsidRPr="005F3F2C">
        <w:rPr>
          <w:rFonts w:eastAsia="Times New Roman" w:cs="Courier New"/>
          <w:color w:val="000000"/>
          <w:lang w:eastAsia="en-GB"/>
        </w:rPr>
        <w:t>s</w:t>
      </w:r>
      <w:r w:rsidRPr="005F3F2C">
        <w:rPr>
          <w:rFonts w:eastAsia="Times New Roman" w:cs="Courier New"/>
          <w:color w:val="000000"/>
          <w:lang w:eastAsia="en-GB"/>
        </w:rPr>
        <w:t>tics</w:t>
      </w:r>
      <w:r>
        <w:rPr>
          <w:rFonts w:eastAsia="Times New Roman" w:cs="Courier New"/>
          <w:color w:val="000000"/>
          <w:lang w:eastAsia="en-GB"/>
        </w:rPr>
        <w:t>, vol. 88, no. 4, pp. 641-658.</w:t>
      </w:r>
    </w:p>
    <w:p w:rsidR="002859D8" w:rsidRPr="00B54BC7" w:rsidRDefault="002859D8" w:rsidP="00842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Courier New"/>
          <w:color w:val="000000"/>
          <w:lang w:eastAsia="en-GB"/>
        </w:rPr>
      </w:pPr>
      <w:r w:rsidRPr="00B54BC7">
        <w:rPr>
          <w:rFonts w:eastAsia="Times New Roman" w:cs="Courier New"/>
          <w:color w:val="000000"/>
          <w:lang w:eastAsia="en-GB"/>
        </w:rPr>
        <w:t xml:space="preserve">UN (2010), `Manual on Statistics of International Trade in Services', Department of Economic and Social Affairs, url: </w:t>
      </w:r>
      <w:r>
        <w:rPr>
          <w:rFonts w:eastAsia="Times New Roman" w:cs="Courier New"/>
          <w:color w:val="000000"/>
          <w:lang w:eastAsia="en-GB"/>
        </w:rPr>
        <w:t>&lt;</w:t>
      </w:r>
      <w:r w:rsidRPr="00B54BC7">
        <w:rPr>
          <w:rFonts w:eastAsia="Times New Roman" w:cs="Courier New"/>
          <w:color w:val="000000"/>
          <w:lang w:eastAsia="en-GB"/>
        </w:rPr>
        <w:t xml:space="preserve"> https://unstats.un.org/u</w:t>
      </w:r>
      <w:r>
        <w:rPr>
          <w:rFonts w:eastAsia="Times New Roman" w:cs="Courier New"/>
          <w:color w:val="000000"/>
          <w:lang w:eastAsia="en-GB"/>
        </w:rPr>
        <w:t>nsd/tradeserv/TFSITS/manual.htm&gt; .</w:t>
      </w:r>
    </w:p>
    <w:p w:rsidR="002859D8" w:rsidRPr="00B54BC7" w:rsidRDefault="002859D8" w:rsidP="00842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Courier New"/>
          <w:color w:val="000000"/>
          <w:lang w:eastAsia="en-GB"/>
        </w:rPr>
      </w:pPr>
      <w:r w:rsidRPr="00B54BC7">
        <w:rPr>
          <w:rFonts w:eastAsia="Times New Roman" w:cs="Courier New"/>
          <w:color w:val="000000"/>
          <w:lang w:eastAsia="en-GB"/>
        </w:rPr>
        <w:t xml:space="preserve">UNCTAD (2017), `UNCTAD IIA Mapping Project', url: </w:t>
      </w:r>
      <w:r>
        <w:rPr>
          <w:rFonts w:eastAsia="Times New Roman" w:cs="Courier New"/>
          <w:color w:val="000000"/>
          <w:lang w:eastAsia="en-GB"/>
        </w:rPr>
        <w:t>&lt;</w:t>
      </w:r>
      <w:r w:rsidRPr="00B54BC7">
        <w:rPr>
          <w:rFonts w:eastAsia="Times New Roman" w:cs="Courier New"/>
          <w:color w:val="000000"/>
          <w:lang w:eastAsia="en-GB"/>
        </w:rPr>
        <w:t>http</w:t>
      </w:r>
      <w:r>
        <w:rPr>
          <w:rFonts w:eastAsia="Times New Roman" w:cs="Courier New"/>
          <w:color w:val="000000"/>
          <w:lang w:eastAsia="en-GB"/>
        </w:rPr>
        <w:t>://investmentpolicyhub</w:t>
      </w:r>
      <w:r w:rsidR="00C27207">
        <w:rPr>
          <w:rFonts w:eastAsia="Times New Roman" w:cs="Courier New"/>
          <w:color w:val="000000"/>
          <w:lang w:eastAsia="en-GB"/>
        </w:rPr>
        <w:t>.unctad.</w:t>
      </w:r>
      <w:r>
        <w:rPr>
          <w:rFonts w:eastAsia="Times New Roman" w:cs="Courier New"/>
          <w:color w:val="000000"/>
          <w:lang w:eastAsia="en-GB"/>
        </w:rPr>
        <w:t>o</w:t>
      </w:r>
      <w:r w:rsidRPr="00B54BC7">
        <w:rPr>
          <w:rFonts w:eastAsia="Times New Roman" w:cs="Courier New"/>
          <w:color w:val="000000"/>
          <w:lang w:eastAsia="en-GB"/>
        </w:rPr>
        <w:t>rg/IIA/mappedContent</w:t>
      </w:r>
      <w:r>
        <w:rPr>
          <w:rFonts w:eastAsia="Times New Roman" w:cs="Courier New"/>
          <w:color w:val="000000"/>
          <w:lang w:eastAsia="en-GB"/>
        </w:rPr>
        <w:t>&gt; (Accessed 01 May 2017).</w:t>
      </w:r>
    </w:p>
    <w:p w:rsidR="002859D8" w:rsidRDefault="002859D8" w:rsidP="00842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Courier New"/>
          <w:color w:val="000000"/>
          <w:lang w:eastAsia="en-GB"/>
        </w:rPr>
      </w:pPr>
      <w:r w:rsidRPr="00B54BC7">
        <w:rPr>
          <w:rFonts w:eastAsia="Times New Roman" w:cs="Courier New"/>
          <w:color w:val="000000"/>
          <w:lang w:eastAsia="en-GB"/>
        </w:rPr>
        <w:t>Wagner, M. (2017), `Investment Law's Uruguay Moment,' King's Forum on International Dispute Res</w:t>
      </w:r>
      <w:r w:rsidRPr="00B54BC7">
        <w:rPr>
          <w:rFonts w:eastAsia="Times New Roman" w:cs="Courier New"/>
          <w:color w:val="000000"/>
          <w:lang w:eastAsia="en-GB"/>
        </w:rPr>
        <w:t>o</w:t>
      </w:r>
      <w:r w:rsidRPr="00B54BC7">
        <w:rPr>
          <w:rFonts w:eastAsia="Times New Roman" w:cs="Courier New"/>
          <w:color w:val="000000"/>
          <w:lang w:eastAsia="en-GB"/>
        </w:rPr>
        <w:t>lution.</w:t>
      </w:r>
    </w:p>
    <w:p w:rsidR="00296501" w:rsidRDefault="00296501" w:rsidP="00842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Courier New"/>
          <w:color w:val="000000"/>
          <w:lang w:eastAsia="en-GB"/>
        </w:rPr>
      </w:pPr>
    </w:p>
    <w:p w:rsidR="00296501" w:rsidRDefault="00296501" w:rsidP="00842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Courier New"/>
          <w:color w:val="000000"/>
          <w:lang w:eastAsia="en-GB"/>
        </w:rPr>
      </w:pPr>
      <w:r>
        <w:rPr>
          <w:rFonts w:eastAsia="Times New Roman" w:cs="Courier New"/>
          <w:color w:val="000000"/>
          <w:lang w:eastAsia="en-GB"/>
        </w:rPr>
        <w:br w:type="page"/>
      </w:r>
    </w:p>
    <w:p w:rsidR="002859D8" w:rsidRPr="008425C8" w:rsidRDefault="002859D8" w:rsidP="00842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Courier New"/>
          <w:b/>
        </w:rPr>
      </w:pPr>
      <w:r w:rsidRPr="008425C8">
        <w:rPr>
          <w:rFonts w:cs="Courier New"/>
          <w:b/>
        </w:rPr>
        <w:lastRenderedPageBreak/>
        <w:t>Appendix</w:t>
      </w:r>
    </w:p>
    <w:p w:rsidR="002859D8" w:rsidRDefault="002859D8" w:rsidP="002859D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New"/>
          <w:b/>
        </w:rPr>
      </w:pPr>
    </w:p>
    <w:tbl>
      <w:tblPr>
        <w:tblW w:w="9229" w:type="dxa"/>
        <w:tblInd w:w="93" w:type="dxa"/>
        <w:tblLook w:val="04A0" w:firstRow="1" w:lastRow="0" w:firstColumn="1" w:lastColumn="0" w:noHBand="0" w:noVBand="1"/>
      </w:tblPr>
      <w:tblGrid>
        <w:gridCol w:w="2429"/>
        <w:gridCol w:w="6800"/>
      </w:tblGrid>
      <w:tr w:rsidR="002859D8" w:rsidRPr="005B379E" w:rsidTr="00B05451">
        <w:trPr>
          <w:trHeight w:val="81"/>
        </w:trPr>
        <w:tc>
          <w:tcPr>
            <w:tcW w:w="9229" w:type="dxa"/>
            <w:gridSpan w:val="2"/>
            <w:tcBorders>
              <w:top w:val="nil"/>
              <w:left w:val="nil"/>
              <w:bottom w:val="nil"/>
              <w:right w:val="nil"/>
            </w:tcBorders>
            <w:shd w:val="clear" w:color="000000" w:fill="F2DCDB"/>
            <w:noWrap/>
            <w:vAlign w:val="center"/>
            <w:hideMark/>
          </w:tcPr>
          <w:p w:rsidR="002859D8" w:rsidRPr="005B379E" w:rsidRDefault="002859D8" w:rsidP="00B05451">
            <w:pPr>
              <w:spacing w:after="0" w:line="240" w:lineRule="auto"/>
              <w:rPr>
                <w:rFonts w:ascii="Gill Sans MT" w:eastAsia="Times New Roman" w:hAnsi="Gill Sans MT" w:cs="Times New Roman"/>
                <w:color w:val="AA273E"/>
                <w:sz w:val="28"/>
                <w:szCs w:val="28"/>
                <w:lang w:eastAsia="en-GB"/>
              </w:rPr>
            </w:pPr>
            <w:r>
              <w:rPr>
                <w:rFonts w:ascii="Gill Sans MT" w:eastAsia="Times New Roman" w:hAnsi="Gill Sans MT" w:cs="Times New Roman"/>
                <w:color w:val="AA273E"/>
                <w:sz w:val="28"/>
                <w:szCs w:val="28"/>
                <w:lang w:eastAsia="en-GB"/>
              </w:rPr>
              <w:t>Appendix 1</w:t>
            </w:r>
            <w:r w:rsidRPr="005B379E">
              <w:rPr>
                <w:rFonts w:ascii="Gill Sans MT" w:eastAsia="Times New Roman" w:hAnsi="Gill Sans MT" w:cs="Times New Roman"/>
                <w:color w:val="AA273E"/>
                <w:sz w:val="28"/>
                <w:szCs w:val="28"/>
                <w:lang w:eastAsia="en-GB"/>
              </w:rPr>
              <w:t>. Variable Descriptions</w:t>
            </w:r>
          </w:p>
        </w:tc>
      </w:tr>
      <w:tr w:rsidR="002859D8" w:rsidRPr="005B379E" w:rsidTr="00B05451">
        <w:trPr>
          <w:trHeight w:val="72"/>
        </w:trPr>
        <w:tc>
          <w:tcPr>
            <w:tcW w:w="2429" w:type="dxa"/>
            <w:tcBorders>
              <w:top w:val="nil"/>
              <w:left w:val="nil"/>
              <w:bottom w:val="single" w:sz="8" w:space="0" w:color="C00000"/>
              <w:right w:val="nil"/>
            </w:tcBorders>
            <w:shd w:val="clear" w:color="auto" w:fill="auto"/>
            <w:noWrap/>
            <w:vAlign w:val="center"/>
            <w:hideMark/>
          </w:tcPr>
          <w:p w:rsidR="002859D8" w:rsidRPr="005B379E" w:rsidRDefault="002859D8" w:rsidP="00B05451">
            <w:pPr>
              <w:spacing w:after="0" w:line="240" w:lineRule="auto"/>
              <w:rPr>
                <w:rFonts w:ascii="Gill Sans MT" w:eastAsia="Times New Roman" w:hAnsi="Gill Sans MT" w:cs="Times New Roman"/>
                <w:color w:val="000000"/>
                <w:sz w:val="24"/>
                <w:szCs w:val="24"/>
                <w:lang w:eastAsia="en-GB"/>
              </w:rPr>
            </w:pPr>
            <w:r w:rsidRPr="005B379E">
              <w:rPr>
                <w:rFonts w:ascii="Gill Sans MT" w:eastAsia="Times New Roman" w:hAnsi="Gill Sans MT" w:cs="Times New Roman"/>
                <w:color w:val="000000"/>
                <w:sz w:val="24"/>
                <w:szCs w:val="24"/>
                <w:lang w:eastAsia="en-GB"/>
              </w:rPr>
              <w:t>Variable</w:t>
            </w:r>
          </w:p>
        </w:tc>
        <w:tc>
          <w:tcPr>
            <w:tcW w:w="6800" w:type="dxa"/>
            <w:tcBorders>
              <w:top w:val="nil"/>
              <w:left w:val="nil"/>
              <w:bottom w:val="single" w:sz="8" w:space="0" w:color="C00000"/>
              <w:right w:val="nil"/>
            </w:tcBorders>
            <w:shd w:val="clear" w:color="auto" w:fill="auto"/>
            <w:noWrap/>
            <w:vAlign w:val="center"/>
            <w:hideMark/>
          </w:tcPr>
          <w:p w:rsidR="002859D8" w:rsidRPr="005B379E" w:rsidRDefault="002859D8" w:rsidP="00B05451">
            <w:pPr>
              <w:spacing w:after="0" w:line="240" w:lineRule="auto"/>
              <w:rPr>
                <w:rFonts w:ascii="Gill Sans MT" w:eastAsia="Times New Roman" w:hAnsi="Gill Sans MT" w:cs="Times New Roman"/>
                <w:color w:val="000000"/>
                <w:sz w:val="24"/>
                <w:szCs w:val="24"/>
                <w:lang w:eastAsia="en-GB"/>
              </w:rPr>
            </w:pPr>
            <w:r w:rsidRPr="005B379E">
              <w:rPr>
                <w:rFonts w:ascii="Gill Sans MT" w:eastAsia="Times New Roman" w:hAnsi="Gill Sans MT" w:cs="Times New Roman"/>
                <w:color w:val="000000"/>
                <w:sz w:val="24"/>
                <w:szCs w:val="24"/>
                <w:lang w:eastAsia="en-GB"/>
              </w:rPr>
              <w:t>Description</w:t>
            </w:r>
          </w:p>
        </w:tc>
      </w:tr>
      <w:tr w:rsidR="002859D8" w:rsidRPr="005B379E" w:rsidTr="00B05451">
        <w:trPr>
          <w:trHeight w:val="567"/>
        </w:trPr>
        <w:tc>
          <w:tcPr>
            <w:tcW w:w="2429" w:type="dxa"/>
            <w:tcBorders>
              <w:top w:val="single" w:sz="8" w:space="0" w:color="C00000"/>
              <w:left w:val="nil"/>
              <w:bottom w:val="nil"/>
              <w:right w:val="nil"/>
            </w:tcBorders>
            <w:shd w:val="clear" w:color="auto" w:fill="auto"/>
            <w:noWrap/>
            <w:vAlign w:val="center"/>
          </w:tcPr>
          <w:p w:rsidR="002859D8" w:rsidRPr="00702657" w:rsidRDefault="002859D8" w:rsidP="00B05451">
            <w:pPr>
              <w:spacing w:after="0" w:line="240" w:lineRule="auto"/>
              <w:rPr>
                <w:rFonts w:ascii="Gill Sans MT" w:eastAsia="Times New Roman" w:hAnsi="Gill Sans MT" w:cs="Times New Roman"/>
                <w:i/>
                <w:color w:val="000000"/>
                <w:sz w:val="24"/>
                <w:szCs w:val="24"/>
                <w:lang w:eastAsia="en-GB"/>
              </w:rPr>
            </w:pPr>
            <w:r w:rsidRPr="00702657">
              <w:rPr>
                <w:rFonts w:ascii="Gill Sans MT" w:eastAsia="Times New Roman" w:hAnsi="Gill Sans MT" w:cs="Times New Roman"/>
                <w:i/>
                <w:color w:val="000000"/>
                <w:lang w:eastAsia="en-GB"/>
              </w:rPr>
              <w:t>FDI</w:t>
            </w:r>
            <w:r w:rsidRPr="00702657">
              <w:rPr>
                <w:rFonts w:ascii="Gill Sans MT" w:eastAsia="Times New Roman" w:hAnsi="Gill Sans MT" w:cs="Times New Roman"/>
                <w:i/>
                <w:color w:val="000000"/>
                <w:vertAlign w:val="subscript"/>
                <w:lang w:eastAsia="en-GB"/>
              </w:rPr>
              <w:t>ijt</w:t>
            </w:r>
          </w:p>
        </w:tc>
        <w:tc>
          <w:tcPr>
            <w:tcW w:w="6800" w:type="dxa"/>
            <w:tcBorders>
              <w:top w:val="single" w:sz="8" w:space="0" w:color="C00000"/>
              <w:left w:val="nil"/>
              <w:bottom w:val="nil"/>
              <w:right w:val="nil"/>
            </w:tcBorders>
            <w:shd w:val="clear" w:color="auto" w:fill="auto"/>
            <w:noWrap/>
            <w:vAlign w:val="center"/>
          </w:tcPr>
          <w:p w:rsidR="002859D8" w:rsidRPr="00702657" w:rsidRDefault="002859D8" w:rsidP="00B05451">
            <w:pPr>
              <w:spacing w:after="0" w:line="240" w:lineRule="auto"/>
              <w:rPr>
                <w:rFonts w:ascii="Gill Sans MT" w:eastAsia="Times New Roman" w:hAnsi="Gill Sans MT" w:cs="Times New Roman"/>
                <w:color w:val="000000"/>
                <w:sz w:val="24"/>
                <w:szCs w:val="24"/>
                <w:lang w:eastAsia="en-GB"/>
              </w:rPr>
            </w:pPr>
            <w:r>
              <w:rPr>
                <w:rFonts w:ascii="Gill Sans MT" w:eastAsia="Times New Roman" w:hAnsi="Gill Sans MT" w:cs="Times New Roman"/>
                <w:color w:val="000000"/>
                <w:sz w:val="24"/>
                <w:szCs w:val="24"/>
                <w:lang w:eastAsia="en-GB"/>
              </w:rPr>
              <w:t xml:space="preserve">FDI inflow from country </w:t>
            </w:r>
            <w:r>
              <w:rPr>
                <w:rFonts w:ascii="Gill Sans MT" w:eastAsia="Times New Roman" w:hAnsi="Gill Sans MT" w:cs="Times New Roman"/>
                <w:i/>
                <w:color w:val="000000"/>
                <w:sz w:val="24"/>
                <w:szCs w:val="24"/>
                <w:lang w:eastAsia="en-GB"/>
              </w:rPr>
              <w:t>j</w:t>
            </w:r>
            <w:r>
              <w:rPr>
                <w:rFonts w:ascii="Gill Sans MT" w:eastAsia="Times New Roman" w:hAnsi="Gill Sans MT" w:cs="Times New Roman"/>
                <w:color w:val="000000"/>
                <w:sz w:val="24"/>
                <w:szCs w:val="24"/>
                <w:lang w:eastAsia="en-GB"/>
              </w:rPr>
              <w:t xml:space="preserve"> to country </w:t>
            </w:r>
            <w:r>
              <w:rPr>
                <w:rFonts w:ascii="Gill Sans MT" w:eastAsia="Times New Roman" w:hAnsi="Gill Sans MT" w:cs="Times New Roman"/>
                <w:i/>
                <w:color w:val="000000"/>
                <w:sz w:val="24"/>
                <w:szCs w:val="24"/>
                <w:lang w:eastAsia="en-GB"/>
              </w:rPr>
              <w:t>i</w:t>
            </w:r>
            <w:r>
              <w:rPr>
                <w:rFonts w:ascii="Gill Sans MT" w:eastAsia="Times New Roman" w:hAnsi="Gill Sans MT" w:cs="Times New Roman"/>
                <w:color w:val="000000"/>
                <w:sz w:val="24"/>
                <w:szCs w:val="24"/>
                <w:lang w:eastAsia="en-GB"/>
              </w:rPr>
              <w:t xml:space="preserve"> at time </w:t>
            </w:r>
            <w:r>
              <w:rPr>
                <w:rFonts w:ascii="Gill Sans MT" w:eastAsia="Times New Roman" w:hAnsi="Gill Sans MT" w:cs="Times New Roman"/>
                <w:i/>
                <w:color w:val="000000"/>
                <w:sz w:val="24"/>
                <w:szCs w:val="24"/>
                <w:lang w:eastAsia="en-GB"/>
              </w:rPr>
              <w:t>t</w:t>
            </w:r>
            <w:r>
              <w:rPr>
                <w:rFonts w:ascii="Gill Sans MT" w:eastAsia="Times New Roman" w:hAnsi="Gill Sans MT" w:cs="Times New Roman"/>
                <w:color w:val="000000"/>
                <w:sz w:val="24"/>
                <w:szCs w:val="24"/>
                <w:lang w:eastAsia="en-GB"/>
              </w:rPr>
              <w:t>, in millions of USD</w:t>
            </w:r>
          </w:p>
        </w:tc>
      </w:tr>
      <w:tr w:rsidR="002859D8" w:rsidRPr="005B379E" w:rsidTr="00B05451">
        <w:trPr>
          <w:trHeight w:val="567"/>
        </w:trPr>
        <w:tc>
          <w:tcPr>
            <w:tcW w:w="2429" w:type="dxa"/>
            <w:tcBorders>
              <w:top w:val="nil"/>
              <w:left w:val="nil"/>
              <w:bottom w:val="nil"/>
              <w:right w:val="nil"/>
            </w:tcBorders>
            <w:shd w:val="clear" w:color="auto" w:fill="auto"/>
            <w:noWrap/>
            <w:vAlign w:val="center"/>
            <w:hideMark/>
          </w:tcPr>
          <w:p w:rsidR="002859D8" w:rsidRPr="005B379E" w:rsidRDefault="002859D8" w:rsidP="00B05451">
            <w:pPr>
              <w:spacing w:after="0" w:line="240" w:lineRule="auto"/>
              <w:rPr>
                <w:rFonts w:ascii="Gill Sans MT" w:eastAsia="Times New Roman" w:hAnsi="Gill Sans MT" w:cs="Times New Roman"/>
                <w:i/>
                <w:iCs/>
                <w:color w:val="000000"/>
                <w:lang w:eastAsia="en-GB"/>
              </w:rPr>
            </w:pPr>
            <w:r w:rsidRPr="005B379E">
              <w:rPr>
                <w:rFonts w:ascii="Gill Sans MT" w:eastAsia="Times New Roman" w:hAnsi="Gill Sans MT" w:cs="Times New Roman"/>
                <w:i/>
                <w:iCs/>
                <w:color w:val="000000"/>
                <w:lang w:eastAsia="en-GB"/>
              </w:rPr>
              <w:t>BIT</w:t>
            </w:r>
            <w:r w:rsidRPr="005B379E">
              <w:rPr>
                <w:rFonts w:ascii="Gill Sans MT" w:eastAsia="Times New Roman" w:hAnsi="Gill Sans MT" w:cs="Times New Roman"/>
                <w:i/>
                <w:iCs/>
                <w:color w:val="000000"/>
                <w:vertAlign w:val="subscript"/>
                <w:lang w:eastAsia="en-GB"/>
              </w:rPr>
              <w:t>ijt</w:t>
            </w:r>
          </w:p>
        </w:tc>
        <w:tc>
          <w:tcPr>
            <w:tcW w:w="6800" w:type="dxa"/>
            <w:tcBorders>
              <w:top w:val="nil"/>
              <w:left w:val="nil"/>
              <w:bottom w:val="nil"/>
              <w:right w:val="nil"/>
            </w:tcBorders>
            <w:shd w:val="clear" w:color="auto" w:fill="auto"/>
            <w:noWrap/>
            <w:vAlign w:val="center"/>
            <w:hideMark/>
          </w:tcPr>
          <w:p w:rsidR="002859D8" w:rsidRPr="005B379E" w:rsidRDefault="002859D8" w:rsidP="00B05451">
            <w:pPr>
              <w:spacing w:after="0" w:line="240" w:lineRule="auto"/>
              <w:rPr>
                <w:rFonts w:ascii="Gill Sans MT" w:eastAsia="Times New Roman" w:hAnsi="Gill Sans MT" w:cs="Times New Roman"/>
                <w:color w:val="000000"/>
                <w:sz w:val="24"/>
                <w:szCs w:val="24"/>
                <w:lang w:eastAsia="en-GB"/>
              </w:rPr>
            </w:pPr>
            <w:r>
              <w:rPr>
                <w:rFonts w:ascii="Gill Sans MT" w:eastAsia="Times New Roman" w:hAnsi="Gill Sans MT" w:cs="Times New Roman"/>
                <w:color w:val="000000"/>
                <w:sz w:val="24"/>
                <w:szCs w:val="24"/>
                <w:lang w:eastAsia="en-GB"/>
              </w:rPr>
              <w:t xml:space="preserve">Dummy equal to one if BIT is enforced, between </w:t>
            </w:r>
            <w:r>
              <w:rPr>
                <w:rFonts w:ascii="Gill Sans MT" w:eastAsia="Times New Roman" w:hAnsi="Gill Sans MT" w:cs="Times New Roman"/>
                <w:i/>
                <w:color w:val="000000"/>
                <w:sz w:val="24"/>
                <w:szCs w:val="24"/>
                <w:lang w:eastAsia="en-GB"/>
              </w:rPr>
              <w:t xml:space="preserve">i </w:t>
            </w:r>
            <w:r>
              <w:rPr>
                <w:rFonts w:ascii="Gill Sans MT" w:eastAsia="Times New Roman" w:hAnsi="Gill Sans MT" w:cs="Times New Roman"/>
                <w:color w:val="000000"/>
                <w:sz w:val="24"/>
                <w:szCs w:val="24"/>
                <w:lang w:eastAsia="en-GB"/>
              </w:rPr>
              <w:t xml:space="preserve">and </w:t>
            </w:r>
            <w:r>
              <w:rPr>
                <w:rFonts w:ascii="Gill Sans MT" w:eastAsia="Times New Roman" w:hAnsi="Gill Sans MT" w:cs="Times New Roman"/>
                <w:i/>
                <w:color w:val="000000"/>
                <w:sz w:val="24"/>
                <w:szCs w:val="24"/>
                <w:lang w:eastAsia="en-GB"/>
              </w:rPr>
              <w:t>j</w:t>
            </w:r>
            <w:r>
              <w:rPr>
                <w:rFonts w:ascii="Gill Sans MT" w:eastAsia="Times New Roman" w:hAnsi="Gill Sans MT" w:cs="Times New Roman"/>
                <w:color w:val="000000"/>
                <w:sz w:val="24"/>
                <w:szCs w:val="24"/>
                <w:lang w:eastAsia="en-GB"/>
              </w:rPr>
              <w:t xml:space="preserve"> at time </w:t>
            </w:r>
            <w:r>
              <w:rPr>
                <w:rFonts w:ascii="Gill Sans MT" w:eastAsia="Times New Roman" w:hAnsi="Gill Sans MT" w:cs="Times New Roman"/>
                <w:i/>
                <w:color w:val="000000"/>
                <w:sz w:val="24"/>
                <w:szCs w:val="24"/>
                <w:lang w:eastAsia="en-GB"/>
              </w:rPr>
              <w:t>t</w:t>
            </w:r>
          </w:p>
        </w:tc>
      </w:tr>
      <w:tr w:rsidR="002859D8" w:rsidRPr="005B379E" w:rsidTr="00B05451">
        <w:trPr>
          <w:trHeight w:val="567"/>
        </w:trPr>
        <w:tc>
          <w:tcPr>
            <w:tcW w:w="2429" w:type="dxa"/>
            <w:tcBorders>
              <w:top w:val="nil"/>
              <w:left w:val="nil"/>
              <w:bottom w:val="nil"/>
              <w:right w:val="nil"/>
            </w:tcBorders>
            <w:shd w:val="clear" w:color="auto" w:fill="auto"/>
            <w:noWrap/>
            <w:vAlign w:val="center"/>
            <w:hideMark/>
          </w:tcPr>
          <w:p w:rsidR="002859D8" w:rsidRPr="005B379E" w:rsidRDefault="002859D8" w:rsidP="00B05451">
            <w:pPr>
              <w:spacing w:after="0" w:line="240" w:lineRule="auto"/>
              <w:rPr>
                <w:rFonts w:ascii="Gill Sans MT" w:eastAsia="Times New Roman" w:hAnsi="Gill Sans MT" w:cs="Times New Roman"/>
                <w:i/>
                <w:iCs/>
                <w:color w:val="000000"/>
                <w:lang w:eastAsia="en-GB"/>
              </w:rPr>
            </w:pPr>
            <w:r w:rsidRPr="005B379E">
              <w:rPr>
                <w:rFonts w:ascii="Gill Sans MT" w:eastAsia="Times New Roman" w:hAnsi="Gill Sans MT" w:cs="Times New Roman"/>
                <w:i/>
                <w:iCs/>
                <w:color w:val="000000"/>
                <w:lang w:eastAsia="en-GB"/>
              </w:rPr>
              <w:t>ISDS_Pre</w:t>
            </w:r>
            <w:r w:rsidRPr="005B379E">
              <w:rPr>
                <w:rFonts w:ascii="Gill Sans MT" w:eastAsia="Times New Roman" w:hAnsi="Gill Sans MT" w:cs="Times New Roman"/>
                <w:i/>
                <w:iCs/>
                <w:color w:val="000000"/>
                <w:vertAlign w:val="subscript"/>
                <w:lang w:eastAsia="en-GB"/>
              </w:rPr>
              <w:t>ijt</w:t>
            </w:r>
          </w:p>
        </w:tc>
        <w:tc>
          <w:tcPr>
            <w:tcW w:w="6800" w:type="dxa"/>
            <w:tcBorders>
              <w:top w:val="nil"/>
              <w:left w:val="nil"/>
              <w:bottom w:val="nil"/>
              <w:right w:val="nil"/>
            </w:tcBorders>
            <w:shd w:val="clear" w:color="auto" w:fill="auto"/>
            <w:noWrap/>
            <w:vAlign w:val="center"/>
            <w:hideMark/>
          </w:tcPr>
          <w:p w:rsidR="002859D8" w:rsidRPr="005B379E" w:rsidRDefault="002859D8" w:rsidP="00B05451">
            <w:pPr>
              <w:spacing w:after="0" w:line="240" w:lineRule="auto"/>
              <w:rPr>
                <w:rFonts w:ascii="Gill Sans MT" w:eastAsia="Times New Roman" w:hAnsi="Gill Sans MT" w:cs="Times New Roman"/>
                <w:color w:val="000000"/>
                <w:sz w:val="24"/>
                <w:szCs w:val="24"/>
                <w:lang w:eastAsia="en-GB"/>
              </w:rPr>
            </w:pPr>
            <w:r>
              <w:rPr>
                <w:rFonts w:ascii="Gill Sans MT" w:eastAsia="Times New Roman" w:hAnsi="Gill Sans MT" w:cs="Times New Roman"/>
                <w:color w:val="000000"/>
                <w:sz w:val="24"/>
                <w:szCs w:val="24"/>
                <w:lang w:eastAsia="en-GB"/>
              </w:rPr>
              <w:t xml:space="preserve">Dummy equal to one if BIT includes pre-consent to ISDS, between </w:t>
            </w:r>
            <w:r>
              <w:rPr>
                <w:rFonts w:ascii="Gill Sans MT" w:eastAsia="Times New Roman" w:hAnsi="Gill Sans MT" w:cs="Times New Roman"/>
                <w:i/>
                <w:color w:val="000000"/>
                <w:sz w:val="24"/>
                <w:szCs w:val="24"/>
                <w:lang w:eastAsia="en-GB"/>
              </w:rPr>
              <w:t xml:space="preserve">i </w:t>
            </w:r>
            <w:r>
              <w:rPr>
                <w:rFonts w:ascii="Gill Sans MT" w:eastAsia="Times New Roman" w:hAnsi="Gill Sans MT" w:cs="Times New Roman"/>
                <w:color w:val="000000"/>
                <w:sz w:val="24"/>
                <w:szCs w:val="24"/>
                <w:lang w:eastAsia="en-GB"/>
              </w:rPr>
              <w:t xml:space="preserve">and </w:t>
            </w:r>
            <w:r>
              <w:rPr>
                <w:rFonts w:ascii="Gill Sans MT" w:eastAsia="Times New Roman" w:hAnsi="Gill Sans MT" w:cs="Times New Roman"/>
                <w:i/>
                <w:color w:val="000000"/>
                <w:sz w:val="24"/>
                <w:szCs w:val="24"/>
                <w:lang w:eastAsia="en-GB"/>
              </w:rPr>
              <w:t>j</w:t>
            </w:r>
            <w:r>
              <w:rPr>
                <w:rFonts w:ascii="Gill Sans MT" w:eastAsia="Times New Roman" w:hAnsi="Gill Sans MT" w:cs="Times New Roman"/>
                <w:color w:val="000000"/>
                <w:sz w:val="24"/>
                <w:szCs w:val="24"/>
                <w:lang w:eastAsia="en-GB"/>
              </w:rPr>
              <w:t xml:space="preserve"> at time </w:t>
            </w:r>
            <w:r>
              <w:rPr>
                <w:rFonts w:ascii="Gill Sans MT" w:eastAsia="Times New Roman" w:hAnsi="Gill Sans MT" w:cs="Times New Roman"/>
                <w:i/>
                <w:color w:val="000000"/>
                <w:sz w:val="24"/>
                <w:szCs w:val="24"/>
                <w:lang w:eastAsia="en-GB"/>
              </w:rPr>
              <w:t>t</w:t>
            </w:r>
          </w:p>
        </w:tc>
      </w:tr>
      <w:tr w:rsidR="002859D8" w:rsidRPr="005B379E" w:rsidTr="00B05451">
        <w:trPr>
          <w:trHeight w:val="567"/>
        </w:trPr>
        <w:tc>
          <w:tcPr>
            <w:tcW w:w="2429" w:type="dxa"/>
            <w:tcBorders>
              <w:top w:val="nil"/>
              <w:left w:val="nil"/>
              <w:bottom w:val="nil"/>
              <w:right w:val="nil"/>
            </w:tcBorders>
            <w:shd w:val="clear" w:color="auto" w:fill="auto"/>
            <w:noWrap/>
            <w:vAlign w:val="center"/>
            <w:hideMark/>
          </w:tcPr>
          <w:p w:rsidR="002859D8" w:rsidRPr="005B379E" w:rsidRDefault="002859D8" w:rsidP="00B05451">
            <w:pPr>
              <w:spacing w:after="0" w:line="240" w:lineRule="auto"/>
              <w:rPr>
                <w:rFonts w:ascii="Gill Sans MT" w:eastAsia="Times New Roman" w:hAnsi="Gill Sans MT" w:cs="Times New Roman"/>
                <w:i/>
                <w:iCs/>
                <w:color w:val="000000"/>
                <w:lang w:eastAsia="en-GB"/>
              </w:rPr>
            </w:pPr>
            <w:r w:rsidRPr="005B379E">
              <w:rPr>
                <w:rFonts w:ascii="Gill Sans MT" w:eastAsia="Times New Roman" w:hAnsi="Gill Sans MT" w:cs="Times New Roman"/>
                <w:i/>
                <w:iCs/>
                <w:color w:val="000000"/>
                <w:lang w:eastAsia="en-GB"/>
              </w:rPr>
              <w:t>ISDS_Unre</w:t>
            </w:r>
            <w:r w:rsidRPr="005B379E">
              <w:rPr>
                <w:rFonts w:ascii="Gill Sans MT" w:eastAsia="Times New Roman" w:hAnsi="Gill Sans MT" w:cs="Times New Roman"/>
                <w:i/>
                <w:iCs/>
                <w:color w:val="000000"/>
                <w:vertAlign w:val="subscript"/>
                <w:lang w:eastAsia="en-GB"/>
              </w:rPr>
              <w:t>ijt</w:t>
            </w:r>
          </w:p>
        </w:tc>
        <w:tc>
          <w:tcPr>
            <w:tcW w:w="6800" w:type="dxa"/>
            <w:tcBorders>
              <w:top w:val="nil"/>
              <w:left w:val="nil"/>
              <w:bottom w:val="nil"/>
              <w:right w:val="nil"/>
            </w:tcBorders>
            <w:shd w:val="clear" w:color="auto" w:fill="auto"/>
            <w:noWrap/>
            <w:vAlign w:val="center"/>
            <w:hideMark/>
          </w:tcPr>
          <w:p w:rsidR="002859D8" w:rsidRPr="005B379E" w:rsidRDefault="002859D8" w:rsidP="00B05451">
            <w:pPr>
              <w:spacing w:after="0" w:line="240" w:lineRule="auto"/>
              <w:rPr>
                <w:rFonts w:ascii="Gill Sans MT" w:eastAsia="Times New Roman" w:hAnsi="Gill Sans MT" w:cs="Times New Roman"/>
                <w:color w:val="000000"/>
                <w:sz w:val="24"/>
                <w:szCs w:val="24"/>
                <w:lang w:eastAsia="en-GB"/>
              </w:rPr>
            </w:pPr>
            <w:r>
              <w:rPr>
                <w:rFonts w:ascii="Gill Sans MT" w:eastAsia="Times New Roman" w:hAnsi="Gill Sans MT" w:cs="Times New Roman"/>
                <w:color w:val="000000"/>
                <w:sz w:val="24"/>
                <w:szCs w:val="24"/>
                <w:lang w:eastAsia="en-GB"/>
              </w:rPr>
              <w:t xml:space="preserve">Dummy equal to one if ISDS covers any investment related dispute, between </w:t>
            </w:r>
            <w:r>
              <w:rPr>
                <w:rFonts w:ascii="Gill Sans MT" w:eastAsia="Times New Roman" w:hAnsi="Gill Sans MT" w:cs="Times New Roman"/>
                <w:i/>
                <w:color w:val="000000"/>
                <w:sz w:val="24"/>
                <w:szCs w:val="24"/>
                <w:lang w:eastAsia="en-GB"/>
              </w:rPr>
              <w:t xml:space="preserve">i </w:t>
            </w:r>
            <w:r>
              <w:rPr>
                <w:rFonts w:ascii="Gill Sans MT" w:eastAsia="Times New Roman" w:hAnsi="Gill Sans MT" w:cs="Times New Roman"/>
                <w:color w:val="000000"/>
                <w:sz w:val="24"/>
                <w:szCs w:val="24"/>
                <w:lang w:eastAsia="en-GB"/>
              </w:rPr>
              <w:t xml:space="preserve">and </w:t>
            </w:r>
            <w:r>
              <w:rPr>
                <w:rFonts w:ascii="Gill Sans MT" w:eastAsia="Times New Roman" w:hAnsi="Gill Sans MT" w:cs="Times New Roman"/>
                <w:i/>
                <w:color w:val="000000"/>
                <w:sz w:val="24"/>
                <w:szCs w:val="24"/>
                <w:lang w:eastAsia="en-GB"/>
              </w:rPr>
              <w:t>j</w:t>
            </w:r>
            <w:r>
              <w:rPr>
                <w:rFonts w:ascii="Gill Sans MT" w:eastAsia="Times New Roman" w:hAnsi="Gill Sans MT" w:cs="Times New Roman"/>
                <w:color w:val="000000"/>
                <w:sz w:val="24"/>
                <w:szCs w:val="24"/>
                <w:lang w:eastAsia="en-GB"/>
              </w:rPr>
              <w:t xml:space="preserve"> at time </w:t>
            </w:r>
            <w:r>
              <w:rPr>
                <w:rFonts w:ascii="Gill Sans MT" w:eastAsia="Times New Roman" w:hAnsi="Gill Sans MT" w:cs="Times New Roman"/>
                <w:i/>
                <w:color w:val="000000"/>
                <w:sz w:val="24"/>
                <w:szCs w:val="24"/>
                <w:lang w:eastAsia="en-GB"/>
              </w:rPr>
              <w:t>t</w:t>
            </w:r>
          </w:p>
        </w:tc>
      </w:tr>
      <w:tr w:rsidR="002859D8" w:rsidRPr="005B379E" w:rsidTr="00B05451">
        <w:trPr>
          <w:trHeight w:val="567"/>
        </w:trPr>
        <w:tc>
          <w:tcPr>
            <w:tcW w:w="2429" w:type="dxa"/>
            <w:tcBorders>
              <w:top w:val="nil"/>
              <w:left w:val="nil"/>
              <w:bottom w:val="nil"/>
              <w:right w:val="nil"/>
            </w:tcBorders>
            <w:shd w:val="clear" w:color="auto" w:fill="auto"/>
            <w:noWrap/>
            <w:vAlign w:val="center"/>
            <w:hideMark/>
          </w:tcPr>
          <w:p w:rsidR="002859D8" w:rsidRPr="005B379E" w:rsidRDefault="002859D8" w:rsidP="00B05451">
            <w:pPr>
              <w:spacing w:after="0" w:line="240" w:lineRule="auto"/>
              <w:rPr>
                <w:rFonts w:ascii="Gill Sans MT" w:eastAsia="Times New Roman" w:hAnsi="Gill Sans MT" w:cs="Times New Roman"/>
                <w:i/>
                <w:iCs/>
                <w:color w:val="000000"/>
                <w:lang w:eastAsia="en-GB"/>
              </w:rPr>
            </w:pPr>
            <w:r w:rsidRPr="005B379E">
              <w:rPr>
                <w:rFonts w:ascii="Gill Sans MT" w:eastAsia="Times New Roman" w:hAnsi="Gill Sans MT" w:cs="Times New Roman"/>
                <w:i/>
                <w:iCs/>
                <w:color w:val="000000"/>
                <w:lang w:eastAsia="en-GB"/>
              </w:rPr>
              <w:t>ISDS_Bin</w:t>
            </w:r>
            <w:r w:rsidRPr="005B379E">
              <w:rPr>
                <w:rFonts w:ascii="Gill Sans MT" w:eastAsia="Times New Roman" w:hAnsi="Gill Sans MT" w:cs="Times New Roman"/>
                <w:i/>
                <w:iCs/>
                <w:color w:val="000000"/>
                <w:vertAlign w:val="subscript"/>
                <w:lang w:eastAsia="en-GB"/>
              </w:rPr>
              <w:t>ijt</w:t>
            </w:r>
          </w:p>
        </w:tc>
        <w:tc>
          <w:tcPr>
            <w:tcW w:w="6800" w:type="dxa"/>
            <w:tcBorders>
              <w:top w:val="nil"/>
              <w:left w:val="nil"/>
              <w:bottom w:val="nil"/>
              <w:right w:val="nil"/>
            </w:tcBorders>
            <w:shd w:val="clear" w:color="auto" w:fill="auto"/>
            <w:noWrap/>
            <w:vAlign w:val="center"/>
            <w:hideMark/>
          </w:tcPr>
          <w:p w:rsidR="002859D8" w:rsidRPr="005B379E" w:rsidRDefault="002859D8" w:rsidP="00B05451">
            <w:pPr>
              <w:spacing w:after="0" w:line="240" w:lineRule="auto"/>
              <w:rPr>
                <w:rFonts w:ascii="Gill Sans MT" w:eastAsia="Times New Roman" w:hAnsi="Gill Sans MT" w:cs="Times New Roman"/>
                <w:color w:val="000000"/>
                <w:sz w:val="24"/>
                <w:szCs w:val="24"/>
                <w:lang w:eastAsia="en-GB"/>
              </w:rPr>
            </w:pPr>
            <w:r>
              <w:rPr>
                <w:rFonts w:ascii="Gill Sans MT" w:eastAsia="Times New Roman" w:hAnsi="Gill Sans MT" w:cs="Times New Roman"/>
                <w:color w:val="000000"/>
                <w:sz w:val="24"/>
                <w:szCs w:val="24"/>
                <w:lang w:eastAsia="en-GB"/>
              </w:rPr>
              <w:t xml:space="preserve">Dummy equal to one if treaty interpretation is binding, between </w:t>
            </w:r>
            <w:r>
              <w:rPr>
                <w:rFonts w:ascii="Gill Sans MT" w:eastAsia="Times New Roman" w:hAnsi="Gill Sans MT" w:cs="Times New Roman"/>
                <w:i/>
                <w:color w:val="000000"/>
                <w:sz w:val="24"/>
                <w:szCs w:val="24"/>
                <w:lang w:eastAsia="en-GB"/>
              </w:rPr>
              <w:t xml:space="preserve">i </w:t>
            </w:r>
            <w:r>
              <w:rPr>
                <w:rFonts w:ascii="Gill Sans MT" w:eastAsia="Times New Roman" w:hAnsi="Gill Sans MT" w:cs="Times New Roman"/>
                <w:color w:val="000000"/>
                <w:sz w:val="24"/>
                <w:szCs w:val="24"/>
                <w:lang w:eastAsia="en-GB"/>
              </w:rPr>
              <w:t xml:space="preserve">and </w:t>
            </w:r>
            <w:r>
              <w:rPr>
                <w:rFonts w:ascii="Gill Sans MT" w:eastAsia="Times New Roman" w:hAnsi="Gill Sans MT" w:cs="Times New Roman"/>
                <w:i/>
                <w:color w:val="000000"/>
                <w:sz w:val="24"/>
                <w:szCs w:val="24"/>
                <w:lang w:eastAsia="en-GB"/>
              </w:rPr>
              <w:t>j</w:t>
            </w:r>
            <w:r>
              <w:rPr>
                <w:rFonts w:ascii="Gill Sans MT" w:eastAsia="Times New Roman" w:hAnsi="Gill Sans MT" w:cs="Times New Roman"/>
                <w:color w:val="000000"/>
                <w:sz w:val="24"/>
                <w:szCs w:val="24"/>
                <w:lang w:eastAsia="en-GB"/>
              </w:rPr>
              <w:t xml:space="preserve"> at time </w:t>
            </w:r>
            <w:r>
              <w:rPr>
                <w:rFonts w:ascii="Gill Sans MT" w:eastAsia="Times New Roman" w:hAnsi="Gill Sans MT" w:cs="Times New Roman"/>
                <w:i/>
                <w:color w:val="000000"/>
                <w:sz w:val="24"/>
                <w:szCs w:val="24"/>
                <w:lang w:eastAsia="en-GB"/>
              </w:rPr>
              <w:t>t</w:t>
            </w:r>
          </w:p>
        </w:tc>
      </w:tr>
      <w:tr w:rsidR="002859D8" w:rsidRPr="005B379E" w:rsidTr="00B05451">
        <w:trPr>
          <w:trHeight w:val="567"/>
        </w:trPr>
        <w:tc>
          <w:tcPr>
            <w:tcW w:w="2429" w:type="dxa"/>
            <w:tcBorders>
              <w:top w:val="nil"/>
              <w:left w:val="nil"/>
              <w:bottom w:val="nil"/>
              <w:right w:val="nil"/>
            </w:tcBorders>
            <w:shd w:val="clear" w:color="auto" w:fill="auto"/>
            <w:noWrap/>
            <w:vAlign w:val="center"/>
            <w:hideMark/>
          </w:tcPr>
          <w:p w:rsidR="002859D8" w:rsidRPr="005B379E" w:rsidRDefault="002859D8" w:rsidP="00B05451">
            <w:pPr>
              <w:spacing w:after="0" w:line="240" w:lineRule="auto"/>
              <w:rPr>
                <w:rFonts w:ascii="Gill Sans MT" w:eastAsia="Times New Roman" w:hAnsi="Gill Sans MT" w:cs="Times New Roman"/>
                <w:i/>
                <w:iCs/>
                <w:color w:val="000000"/>
                <w:lang w:eastAsia="en-GB"/>
              </w:rPr>
            </w:pPr>
            <w:r w:rsidRPr="005B379E">
              <w:rPr>
                <w:rFonts w:ascii="Gill Sans MT" w:eastAsia="Times New Roman" w:hAnsi="Gill Sans MT" w:cs="Times New Roman"/>
                <w:i/>
                <w:iCs/>
                <w:color w:val="000000"/>
                <w:lang w:eastAsia="en-GB"/>
              </w:rPr>
              <w:t>ISDS_Bin</w:t>
            </w:r>
            <w:r w:rsidRPr="005B379E">
              <w:rPr>
                <w:rFonts w:ascii="Gill Sans MT" w:eastAsia="Times New Roman" w:hAnsi="Gill Sans MT" w:cs="Times New Roman"/>
                <w:i/>
                <w:iCs/>
                <w:color w:val="000000"/>
                <w:vertAlign w:val="subscript"/>
                <w:lang w:eastAsia="en-GB"/>
              </w:rPr>
              <w:t>ijt</w:t>
            </w:r>
            <w:r w:rsidRPr="005B379E">
              <w:rPr>
                <w:rFonts w:ascii="Gill Sans MT" w:eastAsia="Times New Roman" w:hAnsi="Gill Sans MT" w:cs="Times New Roman"/>
                <w:i/>
                <w:iCs/>
                <w:color w:val="000000"/>
                <w:lang w:eastAsia="en-GB"/>
              </w:rPr>
              <w:t xml:space="preserve"> * ISDS_Unre</w:t>
            </w:r>
            <w:r w:rsidRPr="005B379E">
              <w:rPr>
                <w:rFonts w:ascii="Gill Sans MT" w:eastAsia="Times New Roman" w:hAnsi="Gill Sans MT" w:cs="Times New Roman"/>
                <w:i/>
                <w:iCs/>
                <w:color w:val="000000"/>
                <w:vertAlign w:val="subscript"/>
                <w:lang w:eastAsia="en-GB"/>
              </w:rPr>
              <w:t>ijt</w:t>
            </w:r>
          </w:p>
        </w:tc>
        <w:tc>
          <w:tcPr>
            <w:tcW w:w="6800" w:type="dxa"/>
            <w:tcBorders>
              <w:top w:val="nil"/>
              <w:left w:val="nil"/>
              <w:bottom w:val="nil"/>
              <w:right w:val="nil"/>
            </w:tcBorders>
            <w:shd w:val="clear" w:color="auto" w:fill="auto"/>
            <w:noWrap/>
            <w:vAlign w:val="center"/>
            <w:hideMark/>
          </w:tcPr>
          <w:p w:rsidR="002859D8" w:rsidRPr="005B379E" w:rsidRDefault="002859D8" w:rsidP="00B05451">
            <w:pPr>
              <w:spacing w:after="0" w:line="240" w:lineRule="auto"/>
              <w:rPr>
                <w:rFonts w:ascii="Gill Sans MT" w:eastAsia="Times New Roman" w:hAnsi="Gill Sans MT" w:cs="Times New Roman"/>
                <w:color w:val="000000"/>
                <w:sz w:val="24"/>
                <w:szCs w:val="24"/>
                <w:lang w:eastAsia="en-GB"/>
              </w:rPr>
            </w:pPr>
            <w:r>
              <w:rPr>
                <w:rFonts w:ascii="Gill Sans MT" w:eastAsia="Times New Roman" w:hAnsi="Gill Sans MT" w:cs="Times New Roman"/>
                <w:color w:val="000000"/>
                <w:sz w:val="24"/>
                <w:szCs w:val="24"/>
                <w:lang w:eastAsia="en-GB"/>
              </w:rPr>
              <w:t xml:space="preserve">Interaction term between </w:t>
            </w:r>
            <w:r w:rsidRPr="005B379E">
              <w:rPr>
                <w:rFonts w:ascii="Gill Sans MT" w:eastAsia="Times New Roman" w:hAnsi="Gill Sans MT" w:cs="Times New Roman"/>
                <w:i/>
                <w:iCs/>
                <w:color w:val="000000"/>
                <w:lang w:eastAsia="en-GB"/>
              </w:rPr>
              <w:t>ISDS_Unre</w:t>
            </w:r>
            <w:r w:rsidRPr="005B379E">
              <w:rPr>
                <w:rFonts w:ascii="Gill Sans MT" w:eastAsia="Times New Roman" w:hAnsi="Gill Sans MT" w:cs="Times New Roman"/>
                <w:i/>
                <w:iCs/>
                <w:color w:val="000000"/>
                <w:vertAlign w:val="subscript"/>
                <w:lang w:eastAsia="en-GB"/>
              </w:rPr>
              <w:t>ijt</w:t>
            </w:r>
            <w:r>
              <w:rPr>
                <w:rFonts w:ascii="Gill Sans MT" w:eastAsia="Times New Roman" w:hAnsi="Gill Sans MT" w:cs="Times New Roman"/>
                <w:i/>
                <w:iCs/>
                <w:color w:val="000000"/>
                <w:lang w:eastAsia="en-GB"/>
              </w:rPr>
              <w:t xml:space="preserve"> </w:t>
            </w:r>
            <w:r>
              <w:rPr>
                <w:rFonts w:ascii="Gill Sans MT" w:eastAsia="Times New Roman" w:hAnsi="Gill Sans MT" w:cs="Times New Roman"/>
                <w:iCs/>
                <w:color w:val="000000"/>
                <w:lang w:eastAsia="en-GB"/>
              </w:rPr>
              <w:t xml:space="preserve">and </w:t>
            </w:r>
            <w:r w:rsidRPr="005B379E">
              <w:rPr>
                <w:rFonts w:ascii="Gill Sans MT" w:eastAsia="Times New Roman" w:hAnsi="Gill Sans MT" w:cs="Times New Roman"/>
                <w:i/>
                <w:iCs/>
                <w:color w:val="000000"/>
                <w:lang w:eastAsia="en-GB"/>
              </w:rPr>
              <w:t>ISDS_Bin</w:t>
            </w:r>
            <w:r w:rsidRPr="005B379E">
              <w:rPr>
                <w:rFonts w:ascii="Gill Sans MT" w:eastAsia="Times New Roman" w:hAnsi="Gill Sans MT" w:cs="Times New Roman"/>
                <w:i/>
                <w:iCs/>
                <w:color w:val="000000"/>
                <w:vertAlign w:val="subscript"/>
                <w:lang w:eastAsia="en-GB"/>
              </w:rPr>
              <w:t>ijt</w:t>
            </w:r>
          </w:p>
        </w:tc>
      </w:tr>
      <w:tr w:rsidR="002859D8" w:rsidRPr="005B379E" w:rsidTr="00B05451">
        <w:trPr>
          <w:trHeight w:val="567"/>
        </w:trPr>
        <w:tc>
          <w:tcPr>
            <w:tcW w:w="2429" w:type="dxa"/>
            <w:tcBorders>
              <w:top w:val="nil"/>
              <w:left w:val="nil"/>
              <w:bottom w:val="nil"/>
              <w:right w:val="nil"/>
            </w:tcBorders>
            <w:shd w:val="clear" w:color="auto" w:fill="auto"/>
            <w:noWrap/>
            <w:vAlign w:val="center"/>
            <w:hideMark/>
          </w:tcPr>
          <w:p w:rsidR="002859D8" w:rsidRPr="005B379E" w:rsidRDefault="002859D8" w:rsidP="00B05451">
            <w:pPr>
              <w:spacing w:after="0" w:line="240" w:lineRule="auto"/>
              <w:rPr>
                <w:rFonts w:ascii="Gill Sans MT" w:eastAsia="Times New Roman" w:hAnsi="Gill Sans MT" w:cs="Times New Roman"/>
                <w:i/>
                <w:iCs/>
                <w:color w:val="000000"/>
                <w:lang w:eastAsia="en-GB"/>
              </w:rPr>
            </w:pPr>
            <w:r w:rsidRPr="005B379E">
              <w:rPr>
                <w:rFonts w:ascii="Gill Sans MT" w:eastAsia="Times New Roman" w:hAnsi="Gill Sans MT" w:cs="Times New Roman"/>
                <w:i/>
                <w:iCs/>
                <w:color w:val="000000"/>
                <w:lang w:eastAsia="en-GB"/>
              </w:rPr>
              <w:t>ln(GDP</w:t>
            </w:r>
            <w:r w:rsidRPr="005B379E">
              <w:rPr>
                <w:rFonts w:ascii="Gill Sans MT" w:eastAsia="Times New Roman" w:hAnsi="Gill Sans MT" w:cs="Times New Roman"/>
                <w:i/>
                <w:iCs/>
                <w:color w:val="000000"/>
                <w:vertAlign w:val="subscript"/>
                <w:lang w:eastAsia="en-GB"/>
              </w:rPr>
              <w:t>it</w:t>
            </w:r>
            <w:r w:rsidRPr="005B379E">
              <w:rPr>
                <w:rFonts w:ascii="Gill Sans MT" w:eastAsia="Times New Roman" w:hAnsi="Gill Sans MT" w:cs="Times New Roman"/>
                <w:i/>
                <w:iCs/>
                <w:color w:val="000000"/>
                <w:lang w:eastAsia="en-GB"/>
              </w:rPr>
              <w:t>)</w:t>
            </w:r>
          </w:p>
        </w:tc>
        <w:tc>
          <w:tcPr>
            <w:tcW w:w="6800" w:type="dxa"/>
            <w:tcBorders>
              <w:top w:val="nil"/>
              <w:left w:val="nil"/>
              <w:bottom w:val="nil"/>
              <w:right w:val="nil"/>
            </w:tcBorders>
            <w:shd w:val="clear" w:color="auto" w:fill="auto"/>
            <w:noWrap/>
            <w:vAlign w:val="center"/>
            <w:hideMark/>
          </w:tcPr>
          <w:p w:rsidR="002859D8" w:rsidRPr="005B379E" w:rsidRDefault="002859D8" w:rsidP="00B05451">
            <w:pPr>
              <w:spacing w:after="0" w:line="240" w:lineRule="auto"/>
              <w:rPr>
                <w:rFonts w:ascii="Gill Sans MT" w:eastAsia="Times New Roman" w:hAnsi="Gill Sans MT" w:cs="Times New Roman"/>
                <w:i/>
                <w:color w:val="000000"/>
                <w:sz w:val="24"/>
                <w:szCs w:val="24"/>
                <w:lang w:eastAsia="en-GB"/>
              </w:rPr>
            </w:pPr>
            <w:r>
              <w:rPr>
                <w:rFonts w:ascii="Gill Sans MT" w:eastAsia="Times New Roman" w:hAnsi="Gill Sans MT" w:cs="Times New Roman"/>
                <w:color w:val="000000"/>
                <w:sz w:val="24"/>
                <w:szCs w:val="24"/>
                <w:lang w:eastAsia="en-GB"/>
              </w:rPr>
              <w:t>Logarithmic value of GDP in 2010 USDS, with constant PPP, calc</w:t>
            </w:r>
            <w:r>
              <w:rPr>
                <w:rFonts w:ascii="Gill Sans MT" w:eastAsia="Times New Roman" w:hAnsi="Gill Sans MT" w:cs="Times New Roman"/>
                <w:color w:val="000000"/>
                <w:sz w:val="24"/>
                <w:szCs w:val="24"/>
                <w:lang w:eastAsia="en-GB"/>
              </w:rPr>
              <w:t>u</w:t>
            </w:r>
            <w:r>
              <w:rPr>
                <w:rFonts w:ascii="Gill Sans MT" w:eastAsia="Times New Roman" w:hAnsi="Gill Sans MT" w:cs="Times New Roman"/>
                <w:color w:val="000000"/>
                <w:sz w:val="24"/>
                <w:szCs w:val="24"/>
                <w:lang w:eastAsia="en-GB"/>
              </w:rPr>
              <w:t xml:space="preserve">lated via expenditure approach, for country </w:t>
            </w:r>
            <w:r>
              <w:rPr>
                <w:rFonts w:ascii="Gill Sans MT" w:eastAsia="Times New Roman" w:hAnsi="Gill Sans MT" w:cs="Times New Roman"/>
                <w:i/>
                <w:color w:val="000000"/>
                <w:sz w:val="24"/>
                <w:szCs w:val="24"/>
                <w:lang w:eastAsia="en-GB"/>
              </w:rPr>
              <w:t>i</w:t>
            </w:r>
            <w:r>
              <w:rPr>
                <w:rFonts w:ascii="Gill Sans MT" w:eastAsia="Times New Roman" w:hAnsi="Gill Sans MT" w:cs="Times New Roman"/>
                <w:color w:val="000000"/>
                <w:sz w:val="24"/>
                <w:szCs w:val="24"/>
                <w:lang w:eastAsia="en-GB"/>
              </w:rPr>
              <w:t xml:space="preserve"> at time </w:t>
            </w:r>
            <w:r>
              <w:rPr>
                <w:rFonts w:ascii="Gill Sans MT" w:eastAsia="Times New Roman" w:hAnsi="Gill Sans MT" w:cs="Times New Roman"/>
                <w:i/>
                <w:color w:val="000000"/>
                <w:sz w:val="24"/>
                <w:szCs w:val="24"/>
                <w:lang w:eastAsia="en-GB"/>
              </w:rPr>
              <w:t>t</w:t>
            </w:r>
          </w:p>
        </w:tc>
      </w:tr>
      <w:tr w:rsidR="002859D8" w:rsidRPr="005B379E" w:rsidTr="00B05451">
        <w:trPr>
          <w:trHeight w:val="567"/>
        </w:trPr>
        <w:tc>
          <w:tcPr>
            <w:tcW w:w="2429" w:type="dxa"/>
            <w:tcBorders>
              <w:top w:val="nil"/>
              <w:left w:val="nil"/>
              <w:bottom w:val="nil"/>
              <w:right w:val="nil"/>
            </w:tcBorders>
            <w:shd w:val="clear" w:color="auto" w:fill="auto"/>
            <w:vAlign w:val="center"/>
            <w:hideMark/>
          </w:tcPr>
          <w:p w:rsidR="002859D8" w:rsidRPr="005B379E" w:rsidRDefault="002859D8" w:rsidP="00B05451">
            <w:pPr>
              <w:spacing w:after="0" w:line="240" w:lineRule="auto"/>
              <w:rPr>
                <w:rFonts w:ascii="Gill Sans MT" w:eastAsia="Times New Roman" w:hAnsi="Gill Sans MT" w:cs="Times New Roman"/>
                <w:i/>
                <w:iCs/>
                <w:color w:val="000000"/>
                <w:lang w:eastAsia="en-GB"/>
              </w:rPr>
            </w:pPr>
            <w:r w:rsidRPr="005B379E">
              <w:rPr>
                <w:rFonts w:ascii="Gill Sans MT" w:eastAsia="Times New Roman" w:hAnsi="Gill Sans MT" w:cs="Times New Roman"/>
                <w:i/>
                <w:iCs/>
                <w:color w:val="000000"/>
                <w:lang w:eastAsia="en-GB"/>
              </w:rPr>
              <w:t>ln(GDP</w:t>
            </w:r>
            <w:r w:rsidRPr="005B379E">
              <w:rPr>
                <w:rFonts w:ascii="Gill Sans MT" w:eastAsia="Times New Roman" w:hAnsi="Gill Sans MT" w:cs="Times New Roman"/>
                <w:i/>
                <w:iCs/>
                <w:color w:val="000000"/>
                <w:vertAlign w:val="subscript"/>
                <w:lang w:eastAsia="en-GB"/>
              </w:rPr>
              <w:t>jt</w:t>
            </w:r>
            <w:r w:rsidRPr="005B379E">
              <w:rPr>
                <w:rFonts w:ascii="Gill Sans MT" w:eastAsia="Times New Roman" w:hAnsi="Gill Sans MT" w:cs="Times New Roman"/>
                <w:i/>
                <w:iCs/>
                <w:color w:val="000000"/>
                <w:lang w:eastAsia="en-GB"/>
              </w:rPr>
              <w:t>)</w:t>
            </w:r>
          </w:p>
        </w:tc>
        <w:tc>
          <w:tcPr>
            <w:tcW w:w="6800" w:type="dxa"/>
            <w:tcBorders>
              <w:top w:val="nil"/>
              <w:left w:val="nil"/>
              <w:bottom w:val="nil"/>
              <w:right w:val="nil"/>
            </w:tcBorders>
            <w:shd w:val="clear" w:color="auto" w:fill="auto"/>
            <w:vAlign w:val="center"/>
            <w:hideMark/>
          </w:tcPr>
          <w:p w:rsidR="002859D8" w:rsidRPr="005B379E" w:rsidRDefault="002859D8" w:rsidP="00B05451">
            <w:pPr>
              <w:spacing w:after="0" w:line="240" w:lineRule="auto"/>
              <w:rPr>
                <w:rFonts w:ascii="Calibri" w:eastAsia="Times New Roman" w:hAnsi="Calibri" w:cs="Times New Roman"/>
                <w:color w:val="000000"/>
                <w:lang w:eastAsia="en-GB"/>
              </w:rPr>
            </w:pPr>
            <w:r>
              <w:rPr>
                <w:rFonts w:ascii="Gill Sans MT" w:eastAsia="Times New Roman" w:hAnsi="Gill Sans MT" w:cs="Times New Roman"/>
                <w:color w:val="000000"/>
                <w:sz w:val="24"/>
                <w:szCs w:val="24"/>
                <w:lang w:eastAsia="en-GB"/>
              </w:rPr>
              <w:t>Logarithmic value of GDP in 2010 USDS, with constant PPP, calc</w:t>
            </w:r>
            <w:r>
              <w:rPr>
                <w:rFonts w:ascii="Gill Sans MT" w:eastAsia="Times New Roman" w:hAnsi="Gill Sans MT" w:cs="Times New Roman"/>
                <w:color w:val="000000"/>
                <w:sz w:val="24"/>
                <w:szCs w:val="24"/>
                <w:lang w:eastAsia="en-GB"/>
              </w:rPr>
              <w:t>u</w:t>
            </w:r>
            <w:r>
              <w:rPr>
                <w:rFonts w:ascii="Gill Sans MT" w:eastAsia="Times New Roman" w:hAnsi="Gill Sans MT" w:cs="Times New Roman"/>
                <w:color w:val="000000"/>
                <w:sz w:val="24"/>
                <w:szCs w:val="24"/>
                <w:lang w:eastAsia="en-GB"/>
              </w:rPr>
              <w:t xml:space="preserve">lated via expenditure approach, for country </w:t>
            </w:r>
            <w:r>
              <w:rPr>
                <w:rFonts w:ascii="Gill Sans MT" w:eastAsia="Times New Roman" w:hAnsi="Gill Sans MT" w:cs="Times New Roman"/>
                <w:i/>
                <w:color w:val="000000"/>
                <w:sz w:val="24"/>
                <w:szCs w:val="24"/>
                <w:lang w:eastAsia="en-GB"/>
              </w:rPr>
              <w:t>j</w:t>
            </w:r>
            <w:r>
              <w:rPr>
                <w:rFonts w:ascii="Gill Sans MT" w:eastAsia="Times New Roman" w:hAnsi="Gill Sans MT" w:cs="Times New Roman"/>
                <w:color w:val="000000"/>
                <w:sz w:val="24"/>
                <w:szCs w:val="24"/>
                <w:lang w:eastAsia="en-GB"/>
              </w:rPr>
              <w:t xml:space="preserve"> at time </w:t>
            </w:r>
            <w:r>
              <w:rPr>
                <w:rFonts w:ascii="Gill Sans MT" w:eastAsia="Times New Roman" w:hAnsi="Gill Sans MT" w:cs="Times New Roman"/>
                <w:i/>
                <w:color w:val="000000"/>
                <w:sz w:val="24"/>
                <w:szCs w:val="24"/>
                <w:lang w:eastAsia="en-GB"/>
              </w:rPr>
              <w:t>t</w:t>
            </w:r>
          </w:p>
        </w:tc>
      </w:tr>
      <w:tr w:rsidR="002859D8" w:rsidRPr="005B379E" w:rsidTr="00B05451">
        <w:trPr>
          <w:trHeight w:val="567"/>
        </w:trPr>
        <w:tc>
          <w:tcPr>
            <w:tcW w:w="2429" w:type="dxa"/>
            <w:tcBorders>
              <w:top w:val="nil"/>
              <w:left w:val="nil"/>
              <w:bottom w:val="nil"/>
              <w:right w:val="nil"/>
            </w:tcBorders>
            <w:shd w:val="clear" w:color="auto" w:fill="auto"/>
            <w:vAlign w:val="center"/>
            <w:hideMark/>
          </w:tcPr>
          <w:p w:rsidR="002859D8" w:rsidRPr="005B379E" w:rsidRDefault="002859D8" w:rsidP="00B05451">
            <w:pPr>
              <w:spacing w:after="0" w:line="240" w:lineRule="auto"/>
              <w:rPr>
                <w:rFonts w:ascii="Gill Sans MT" w:eastAsia="Times New Roman" w:hAnsi="Gill Sans MT" w:cs="Times New Roman"/>
                <w:i/>
                <w:iCs/>
                <w:color w:val="000000"/>
                <w:lang w:eastAsia="en-GB"/>
              </w:rPr>
            </w:pPr>
            <w:r w:rsidRPr="005B379E">
              <w:rPr>
                <w:rFonts w:ascii="Gill Sans MT" w:eastAsia="Times New Roman" w:hAnsi="Gill Sans MT" w:cs="Times New Roman"/>
                <w:i/>
                <w:iCs/>
                <w:color w:val="000000"/>
                <w:lang w:eastAsia="en-GB"/>
              </w:rPr>
              <w:t>ln(X</w:t>
            </w:r>
            <w:r w:rsidRPr="005B379E">
              <w:rPr>
                <w:rFonts w:ascii="Gill Sans MT" w:eastAsia="Times New Roman" w:hAnsi="Gill Sans MT" w:cs="Times New Roman"/>
                <w:i/>
                <w:iCs/>
                <w:color w:val="000000"/>
                <w:vertAlign w:val="subscript"/>
                <w:lang w:eastAsia="en-GB"/>
              </w:rPr>
              <w:t>ijt</w:t>
            </w:r>
            <w:r w:rsidRPr="005B379E">
              <w:rPr>
                <w:rFonts w:ascii="Gill Sans MT" w:eastAsia="Times New Roman" w:hAnsi="Gill Sans MT" w:cs="Times New Roman"/>
                <w:i/>
                <w:iCs/>
                <w:color w:val="000000"/>
                <w:lang w:eastAsia="en-GB"/>
              </w:rPr>
              <w:t>)</w:t>
            </w:r>
          </w:p>
        </w:tc>
        <w:tc>
          <w:tcPr>
            <w:tcW w:w="6800" w:type="dxa"/>
            <w:tcBorders>
              <w:top w:val="nil"/>
              <w:left w:val="nil"/>
              <w:bottom w:val="nil"/>
              <w:right w:val="nil"/>
            </w:tcBorders>
            <w:shd w:val="clear" w:color="auto" w:fill="auto"/>
            <w:vAlign w:val="center"/>
            <w:hideMark/>
          </w:tcPr>
          <w:p w:rsidR="002859D8" w:rsidRPr="005B379E" w:rsidRDefault="002859D8" w:rsidP="00B05451">
            <w:pPr>
              <w:spacing w:after="0" w:line="240" w:lineRule="auto"/>
              <w:rPr>
                <w:rFonts w:ascii="Gill Sans MT" w:eastAsia="Times New Roman" w:hAnsi="Gill Sans MT" w:cs="Times New Roman"/>
                <w:i/>
                <w:color w:val="000000"/>
                <w:sz w:val="24"/>
                <w:szCs w:val="24"/>
                <w:lang w:eastAsia="en-GB"/>
              </w:rPr>
            </w:pPr>
            <w:r>
              <w:rPr>
                <w:rFonts w:ascii="Gill Sans MT" w:eastAsia="Times New Roman" w:hAnsi="Gill Sans MT" w:cs="Times New Roman"/>
                <w:color w:val="000000"/>
                <w:sz w:val="24"/>
                <w:szCs w:val="24"/>
                <w:lang w:eastAsia="en-GB"/>
              </w:rPr>
              <w:t xml:space="preserve">Logarithmic value of exports in intermediate goods in 000’s of USD, from country </w:t>
            </w:r>
            <w:r>
              <w:rPr>
                <w:rFonts w:ascii="Gill Sans MT" w:eastAsia="Times New Roman" w:hAnsi="Gill Sans MT" w:cs="Times New Roman"/>
                <w:i/>
                <w:color w:val="000000"/>
                <w:sz w:val="24"/>
                <w:szCs w:val="24"/>
                <w:lang w:eastAsia="en-GB"/>
              </w:rPr>
              <w:t>i</w:t>
            </w:r>
            <w:r>
              <w:rPr>
                <w:rFonts w:ascii="Gill Sans MT" w:eastAsia="Times New Roman" w:hAnsi="Gill Sans MT" w:cs="Times New Roman"/>
                <w:color w:val="000000"/>
                <w:sz w:val="24"/>
                <w:szCs w:val="24"/>
                <w:lang w:eastAsia="en-GB"/>
              </w:rPr>
              <w:t xml:space="preserve"> to country </w:t>
            </w:r>
            <w:r>
              <w:rPr>
                <w:rFonts w:ascii="Gill Sans MT" w:eastAsia="Times New Roman" w:hAnsi="Gill Sans MT" w:cs="Times New Roman"/>
                <w:i/>
                <w:color w:val="000000"/>
                <w:sz w:val="24"/>
                <w:szCs w:val="24"/>
                <w:lang w:eastAsia="en-GB"/>
              </w:rPr>
              <w:t>j</w:t>
            </w:r>
            <w:r>
              <w:rPr>
                <w:rFonts w:ascii="Gill Sans MT" w:eastAsia="Times New Roman" w:hAnsi="Gill Sans MT" w:cs="Times New Roman"/>
                <w:color w:val="000000"/>
                <w:sz w:val="24"/>
                <w:szCs w:val="24"/>
                <w:lang w:eastAsia="en-GB"/>
              </w:rPr>
              <w:t xml:space="preserve"> at time </w:t>
            </w:r>
            <w:r>
              <w:rPr>
                <w:rFonts w:ascii="Gill Sans MT" w:eastAsia="Times New Roman" w:hAnsi="Gill Sans MT" w:cs="Times New Roman"/>
                <w:i/>
                <w:color w:val="000000"/>
                <w:sz w:val="24"/>
                <w:szCs w:val="24"/>
                <w:lang w:eastAsia="en-GB"/>
              </w:rPr>
              <w:t>t</w:t>
            </w:r>
          </w:p>
        </w:tc>
      </w:tr>
      <w:tr w:rsidR="002859D8" w:rsidRPr="005B379E" w:rsidTr="00B05451">
        <w:trPr>
          <w:trHeight w:val="567"/>
        </w:trPr>
        <w:tc>
          <w:tcPr>
            <w:tcW w:w="2429" w:type="dxa"/>
            <w:tcBorders>
              <w:top w:val="nil"/>
              <w:left w:val="nil"/>
              <w:bottom w:val="nil"/>
              <w:right w:val="nil"/>
            </w:tcBorders>
            <w:shd w:val="clear" w:color="auto" w:fill="auto"/>
            <w:vAlign w:val="center"/>
            <w:hideMark/>
          </w:tcPr>
          <w:p w:rsidR="002859D8" w:rsidRPr="005B379E" w:rsidRDefault="002859D8" w:rsidP="00B05451">
            <w:pPr>
              <w:spacing w:after="0" w:line="240" w:lineRule="auto"/>
              <w:rPr>
                <w:rFonts w:ascii="Gill Sans MT" w:eastAsia="Times New Roman" w:hAnsi="Gill Sans MT" w:cs="Times New Roman"/>
                <w:i/>
                <w:iCs/>
                <w:color w:val="000000"/>
                <w:lang w:eastAsia="en-GB"/>
              </w:rPr>
            </w:pPr>
            <w:r w:rsidRPr="005B379E">
              <w:rPr>
                <w:rFonts w:ascii="Gill Sans MT" w:eastAsia="Times New Roman" w:hAnsi="Gill Sans MT" w:cs="Times New Roman"/>
                <w:i/>
                <w:iCs/>
                <w:color w:val="000000"/>
                <w:lang w:eastAsia="en-GB"/>
              </w:rPr>
              <w:t>ln(M</w:t>
            </w:r>
            <w:r w:rsidRPr="005B379E">
              <w:rPr>
                <w:rFonts w:ascii="Gill Sans MT" w:eastAsia="Times New Roman" w:hAnsi="Gill Sans MT" w:cs="Times New Roman"/>
                <w:i/>
                <w:iCs/>
                <w:color w:val="000000"/>
                <w:vertAlign w:val="subscript"/>
                <w:lang w:eastAsia="en-GB"/>
              </w:rPr>
              <w:t>ijt</w:t>
            </w:r>
            <w:r w:rsidRPr="005B379E">
              <w:rPr>
                <w:rFonts w:ascii="Gill Sans MT" w:eastAsia="Times New Roman" w:hAnsi="Gill Sans MT" w:cs="Times New Roman"/>
                <w:i/>
                <w:iCs/>
                <w:color w:val="000000"/>
                <w:lang w:eastAsia="en-GB"/>
              </w:rPr>
              <w:t>)</w:t>
            </w:r>
          </w:p>
        </w:tc>
        <w:tc>
          <w:tcPr>
            <w:tcW w:w="6800" w:type="dxa"/>
            <w:tcBorders>
              <w:top w:val="nil"/>
              <w:left w:val="nil"/>
              <w:bottom w:val="nil"/>
              <w:right w:val="nil"/>
            </w:tcBorders>
            <w:shd w:val="clear" w:color="auto" w:fill="auto"/>
            <w:vAlign w:val="center"/>
            <w:hideMark/>
          </w:tcPr>
          <w:p w:rsidR="002859D8" w:rsidRPr="005B379E" w:rsidRDefault="002859D8" w:rsidP="00B05451">
            <w:pPr>
              <w:spacing w:after="0" w:line="240" w:lineRule="auto"/>
              <w:rPr>
                <w:rFonts w:ascii="Gill Sans MT" w:eastAsia="Times New Roman" w:hAnsi="Gill Sans MT" w:cs="Times New Roman"/>
                <w:i/>
                <w:color w:val="000000"/>
                <w:sz w:val="24"/>
                <w:szCs w:val="24"/>
                <w:lang w:eastAsia="en-GB"/>
              </w:rPr>
            </w:pPr>
            <w:r>
              <w:rPr>
                <w:rFonts w:ascii="Gill Sans MT" w:eastAsia="Times New Roman" w:hAnsi="Gill Sans MT" w:cs="Times New Roman"/>
                <w:color w:val="000000"/>
                <w:sz w:val="24"/>
                <w:szCs w:val="24"/>
                <w:lang w:eastAsia="en-GB"/>
              </w:rPr>
              <w:t xml:space="preserve">Logarithmic value of imports of total goods in 000’s of USD, to country </w:t>
            </w:r>
            <w:r>
              <w:rPr>
                <w:rFonts w:ascii="Gill Sans MT" w:eastAsia="Times New Roman" w:hAnsi="Gill Sans MT" w:cs="Times New Roman"/>
                <w:i/>
                <w:color w:val="000000"/>
                <w:sz w:val="24"/>
                <w:szCs w:val="24"/>
                <w:lang w:eastAsia="en-GB"/>
              </w:rPr>
              <w:t>i</w:t>
            </w:r>
            <w:r>
              <w:rPr>
                <w:rFonts w:ascii="Gill Sans MT" w:eastAsia="Times New Roman" w:hAnsi="Gill Sans MT" w:cs="Times New Roman"/>
                <w:color w:val="000000"/>
                <w:sz w:val="24"/>
                <w:szCs w:val="24"/>
                <w:lang w:eastAsia="en-GB"/>
              </w:rPr>
              <w:t xml:space="preserve"> from country </w:t>
            </w:r>
            <w:r>
              <w:rPr>
                <w:rFonts w:ascii="Gill Sans MT" w:eastAsia="Times New Roman" w:hAnsi="Gill Sans MT" w:cs="Times New Roman"/>
                <w:i/>
                <w:color w:val="000000"/>
                <w:sz w:val="24"/>
                <w:szCs w:val="24"/>
                <w:lang w:eastAsia="en-GB"/>
              </w:rPr>
              <w:t>j</w:t>
            </w:r>
            <w:r>
              <w:rPr>
                <w:rFonts w:ascii="Gill Sans MT" w:eastAsia="Times New Roman" w:hAnsi="Gill Sans MT" w:cs="Times New Roman"/>
                <w:color w:val="000000"/>
                <w:sz w:val="24"/>
                <w:szCs w:val="24"/>
                <w:lang w:eastAsia="en-GB"/>
              </w:rPr>
              <w:t xml:space="preserve"> at time </w:t>
            </w:r>
            <w:r>
              <w:rPr>
                <w:rFonts w:ascii="Gill Sans MT" w:eastAsia="Times New Roman" w:hAnsi="Gill Sans MT" w:cs="Times New Roman"/>
                <w:i/>
                <w:color w:val="000000"/>
                <w:sz w:val="24"/>
                <w:szCs w:val="24"/>
                <w:lang w:eastAsia="en-GB"/>
              </w:rPr>
              <w:t>t</w:t>
            </w:r>
          </w:p>
        </w:tc>
      </w:tr>
      <w:tr w:rsidR="002859D8" w:rsidRPr="005B379E" w:rsidTr="00B05451">
        <w:trPr>
          <w:trHeight w:val="567"/>
        </w:trPr>
        <w:tc>
          <w:tcPr>
            <w:tcW w:w="2429" w:type="dxa"/>
            <w:tcBorders>
              <w:top w:val="nil"/>
              <w:left w:val="nil"/>
              <w:bottom w:val="nil"/>
              <w:right w:val="nil"/>
            </w:tcBorders>
            <w:shd w:val="clear" w:color="auto" w:fill="auto"/>
            <w:vAlign w:val="center"/>
            <w:hideMark/>
          </w:tcPr>
          <w:p w:rsidR="002859D8" w:rsidRPr="005B379E" w:rsidRDefault="002859D8" w:rsidP="00B05451">
            <w:pPr>
              <w:spacing w:after="0" w:line="240" w:lineRule="auto"/>
              <w:rPr>
                <w:rFonts w:ascii="Gill Sans MT" w:eastAsia="Times New Roman" w:hAnsi="Gill Sans MT" w:cs="Times New Roman"/>
                <w:i/>
                <w:iCs/>
                <w:color w:val="000000"/>
                <w:lang w:eastAsia="en-GB"/>
              </w:rPr>
            </w:pPr>
            <w:r w:rsidRPr="005B379E">
              <w:rPr>
                <w:rFonts w:ascii="Gill Sans MT" w:eastAsia="Times New Roman" w:hAnsi="Gill Sans MT" w:cs="Times New Roman"/>
                <w:i/>
                <w:iCs/>
                <w:color w:val="000000"/>
                <w:lang w:eastAsia="en-GB"/>
              </w:rPr>
              <w:t>PTA</w:t>
            </w:r>
            <w:r w:rsidRPr="005B379E">
              <w:rPr>
                <w:rFonts w:ascii="Gill Sans MT" w:eastAsia="Times New Roman" w:hAnsi="Gill Sans MT" w:cs="Times New Roman"/>
                <w:i/>
                <w:iCs/>
                <w:color w:val="000000"/>
                <w:vertAlign w:val="subscript"/>
                <w:lang w:eastAsia="en-GB"/>
              </w:rPr>
              <w:t>ijt</w:t>
            </w:r>
          </w:p>
        </w:tc>
        <w:tc>
          <w:tcPr>
            <w:tcW w:w="6800" w:type="dxa"/>
            <w:tcBorders>
              <w:top w:val="nil"/>
              <w:left w:val="nil"/>
              <w:bottom w:val="nil"/>
              <w:right w:val="nil"/>
            </w:tcBorders>
            <w:shd w:val="clear" w:color="auto" w:fill="auto"/>
            <w:vAlign w:val="center"/>
            <w:hideMark/>
          </w:tcPr>
          <w:p w:rsidR="002859D8" w:rsidRPr="005B379E" w:rsidRDefault="002859D8" w:rsidP="00B05451">
            <w:pPr>
              <w:spacing w:after="0" w:line="240" w:lineRule="auto"/>
              <w:rPr>
                <w:rFonts w:ascii="Gill Sans MT" w:eastAsia="Times New Roman" w:hAnsi="Gill Sans MT" w:cs="Times New Roman"/>
                <w:color w:val="000000"/>
                <w:sz w:val="24"/>
                <w:szCs w:val="24"/>
                <w:lang w:eastAsia="en-GB"/>
              </w:rPr>
            </w:pPr>
            <w:r>
              <w:rPr>
                <w:rFonts w:ascii="Gill Sans MT" w:eastAsia="Times New Roman" w:hAnsi="Gill Sans MT" w:cs="Times New Roman"/>
                <w:color w:val="000000"/>
                <w:sz w:val="24"/>
                <w:szCs w:val="24"/>
                <w:lang w:eastAsia="en-GB"/>
              </w:rPr>
              <w:t xml:space="preserve">Dummy equal to one if PTA is enforced, between </w:t>
            </w:r>
            <w:r>
              <w:rPr>
                <w:rFonts w:ascii="Gill Sans MT" w:eastAsia="Times New Roman" w:hAnsi="Gill Sans MT" w:cs="Times New Roman"/>
                <w:i/>
                <w:color w:val="000000"/>
                <w:sz w:val="24"/>
                <w:szCs w:val="24"/>
                <w:lang w:eastAsia="en-GB"/>
              </w:rPr>
              <w:t xml:space="preserve">i </w:t>
            </w:r>
            <w:r>
              <w:rPr>
                <w:rFonts w:ascii="Gill Sans MT" w:eastAsia="Times New Roman" w:hAnsi="Gill Sans MT" w:cs="Times New Roman"/>
                <w:color w:val="000000"/>
                <w:sz w:val="24"/>
                <w:szCs w:val="24"/>
                <w:lang w:eastAsia="en-GB"/>
              </w:rPr>
              <w:t xml:space="preserve">and </w:t>
            </w:r>
            <w:r>
              <w:rPr>
                <w:rFonts w:ascii="Gill Sans MT" w:eastAsia="Times New Roman" w:hAnsi="Gill Sans MT" w:cs="Times New Roman"/>
                <w:i/>
                <w:color w:val="000000"/>
                <w:sz w:val="24"/>
                <w:szCs w:val="24"/>
                <w:lang w:eastAsia="en-GB"/>
              </w:rPr>
              <w:t>j</w:t>
            </w:r>
            <w:r>
              <w:rPr>
                <w:rFonts w:ascii="Gill Sans MT" w:eastAsia="Times New Roman" w:hAnsi="Gill Sans MT" w:cs="Times New Roman"/>
                <w:color w:val="000000"/>
                <w:sz w:val="24"/>
                <w:szCs w:val="24"/>
                <w:lang w:eastAsia="en-GB"/>
              </w:rPr>
              <w:t xml:space="preserve"> at time </w:t>
            </w:r>
            <w:r>
              <w:rPr>
                <w:rFonts w:ascii="Gill Sans MT" w:eastAsia="Times New Roman" w:hAnsi="Gill Sans MT" w:cs="Times New Roman"/>
                <w:i/>
                <w:color w:val="000000"/>
                <w:sz w:val="24"/>
                <w:szCs w:val="24"/>
                <w:lang w:eastAsia="en-GB"/>
              </w:rPr>
              <w:t>t</w:t>
            </w:r>
          </w:p>
        </w:tc>
      </w:tr>
      <w:tr w:rsidR="002859D8" w:rsidRPr="005B379E" w:rsidTr="00B05451">
        <w:trPr>
          <w:trHeight w:val="567"/>
        </w:trPr>
        <w:tc>
          <w:tcPr>
            <w:tcW w:w="2429" w:type="dxa"/>
            <w:tcBorders>
              <w:top w:val="nil"/>
              <w:left w:val="nil"/>
              <w:bottom w:val="nil"/>
              <w:right w:val="nil"/>
            </w:tcBorders>
            <w:shd w:val="clear" w:color="auto" w:fill="auto"/>
            <w:vAlign w:val="center"/>
            <w:hideMark/>
          </w:tcPr>
          <w:p w:rsidR="002859D8" w:rsidRPr="005B379E" w:rsidRDefault="002859D8" w:rsidP="00B05451">
            <w:pPr>
              <w:spacing w:after="0" w:line="240" w:lineRule="auto"/>
              <w:rPr>
                <w:rFonts w:ascii="Gill Sans MT" w:eastAsia="Times New Roman" w:hAnsi="Gill Sans MT" w:cs="Times New Roman"/>
                <w:i/>
                <w:iCs/>
                <w:color w:val="000000"/>
                <w:lang w:eastAsia="en-GB"/>
              </w:rPr>
            </w:pPr>
            <w:r w:rsidRPr="005B379E">
              <w:rPr>
                <w:rFonts w:ascii="Gill Sans MT" w:eastAsia="Times New Roman" w:hAnsi="Gill Sans MT" w:cs="Times New Roman"/>
                <w:i/>
                <w:iCs/>
                <w:color w:val="000000"/>
                <w:lang w:eastAsia="en-GB"/>
              </w:rPr>
              <w:t>Inv_Pro</w:t>
            </w:r>
            <w:r w:rsidRPr="005B379E">
              <w:rPr>
                <w:rFonts w:ascii="Gill Sans MT" w:eastAsia="Times New Roman" w:hAnsi="Gill Sans MT" w:cs="Times New Roman"/>
                <w:i/>
                <w:iCs/>
                <w:color w:val="000000"/>
                <w:vertAlign w:val="subscript"/>
                <w:lang w:eastAsia="en-GB"/>
              </w:rPr>
              <w:t>ijt</w:t>
            </w:r>
          </w:p>
        </w:tc>
        <w:tc>
          <w:tcPr>
            <w:tcW w:w="6800" w:type="dxa"/>
            <w:tcBorders>
              <w:top w:val="nil"/>
              <w:left w:val="nil"/>
              <w:bottom w:val="nil"/>
              <w:right w:val="nil"/>
            </w:tcBorders>
            <w:shd w:val="clear" w:color="auto" w:fill="auto"/>
            <w:vAlign w:val="center"/>
            <w:hideMark/>
          </w:tcPr>
          <w:p w:rsidR="002859D8" w:rsidRPr="005B379E" w:rsidRDefault="002859D8" w:rsidP="00B05451">
            <w:pPr>
              <w:spacing w:after="0" w:line="240" w:lineRule="auto"/>
              <w:rPr>
                <w:rFonts w:ascii="Gill Sans MT" w:eastAsia="Times New Roman" w:hAnsi="Gill Sans MT" w:cs="Times New Roman"/>
                <w:color w:val="000000"/>
                <w:sz w:val="24"/>
                <w:szCs w:val="24"/>
                <w:lang w:eastAsia="en-GB"/>
              </w:rPr>
            </w:pPr>
            <w:r>
              <w:rPr>
                <w:rFonts w:ascii="Gill Sans MT" w:eastAsia="Times New Roman" w:hAnsi="Gill Sans MT" w:cs="Times New Roman"/>
                <w:color w:val="000000"/>
                <w:sz w:val="24"/>
                <w:szCs w:val="24"/>
                <w:lang w:eastAsia="en-GB"/>
              </w:rPr>
              <w:t>Number and strength of investment provisions included in e</w:t>
            </w:r>
            <w:r>
              <w:rPr>
                <w:rFonts w:ascii="Gill Sans MT" w:eastAsia="Times New Roman" w:hAnsi="Gill Sans MT" w:cs="Times New Roman"/>
                <w:color w:val="000000"/>
                <w:sz w:val="24"/>
                <w:szCs w:val="24"/>
                <w:lang w:eastAsia="en-GB"/>
              </w:rPr>
              <w:t>n</w:t>
            </w:r>
            <w:r>
              <w:rPr>
                <w:rFonts w:ascii="Gill Sans MT" w:eastAsia="Times New Roman" w:hAnsi="Gill Sans MT" w:cs="Times New Roman"/>
                <w:color w:val="000000"/>
                <w:sz w:val="24"/>
                <w:szCs w:val="24"/>
                <w:lang w:eastAsia="en-GB"/>
              </w:rPr>
              <w:t xml:space="preserve">forced PTA, between </w:t>
            </w:r>
            <w:r>
              <w:rPr>
                <w:rFonts w:ascii="Gill Sans MT" w:eastAsia="Times New Roman" w:hAnsi="Gill Sans MT" w:cs="Times New Roman"/>
                <w:i/>
                <w:color w:val="000000"/>
                <w:sz w:val="24"/>
                <w:szCs w:val="24"/>
                <w:lang w:eastAsia="en-GB"/>
              </w:rPr>
              <w:t xml:space="preserve">i </w:t>
            </w:r>
            <w:r>
              <w:rPr>
                <w:rFonts w:ascii="Gill Sans MT" w:eastAsia="Times New Roman" w:hAnsi="Gill Sans MT" w:cs="Times New Roman"/>
                <w:color w:val="000000"/>
                <w:sz w:val="24"/>
                <w:szCs w:val="24"/>
                <w:lang w:eastAsia="en-GB"/>
              </w:rPr>
              <w:t xml:space="preserve">and </w:t>
            </w:r>
            <w:r>
              <w:rPr>
                <w:rFonts w:ascii="Gill Sans MT" w:eastAsia="Times New Roman" w:hAnsi="Gill Sans MT" w:cs="Times New Roman"/>
                <w:i/>
                <w:color w:val="000000"/>
                <w:sz w:val="24"/>
                <w:szCs w:val="24"/>
                <w:lang w:eastAsia="en-GB"/>
              </w:rPr>
              <w:t>j</w:t>
            </w:r>
            <w:r>
              <w:rPr>
                <w:rFonts w:ascii="Gill Sans MT" w:eastAsia="Times New Roman" w:hAnsi="Gill Sans MT" w:cs="Times New Roman"/>
                <w:color w:val="000000"/>
                <w:sz w:val="24"/>
                <w:szCs w:val="24"/>
                <w:lang w:eastAsia="en-GB"/>
              </w:rPr>
              <w:t xml:space="preserve"> at time </w:t>
            </w:r>
            <w:r>
              <w:rPr>
                <w:rFonts w:ascii="Gill Sans MT" w:eastAsia="Times New Roman" w:hAnsi="Gill Sans MT" w:cs="Times New Roman"/>
                <w:i/>
                <w:color w:val="000000"/>
                <w:sz w:val="24"/>
                <w:szCs w:val="24"/>
                <w:lang w:eastAsia="en-GB"/>
              </w:rPr>
              <w:t>t</w:t>
            </w:r>
          </w:p>
        </w:tc>
      </w:tr>
      <w:tr w:rsidR="002859D8" w:rsidRPr="005B379E" w:rsidTr="00B05451">
        <w:trPr>
          <w:trHeight w:val="567"/>
        </w:trPr>
        <w:tc>
          <w:tcPr>
            <w:tcW w:w="2429" w:type="dxa"/>
            <w:tcBorders>
              <w:top w:val="nil"/>
              <w:left w:val="nil"/>
              <w:bottom w:val="single" w:sz="12" w:space="0" w:color="AA273E"/>
              <w:right w:val="nil"/>
            </w:tcBorders>
            <w:shd w:val="clear" w:color="auto" w:fill="auto"/>
            <w:noWrap/>
            <w:vAlign w:val="center"/>
            <w:hideMark/>
          </w:tcPr>
          <w:p w:rsidR="002859D8" w:rsidRPr="005B379E" w:rsidRDefault="002859D8" w:rsidP="00B05451">
            <w:pPr>
              <w:spacing w:after="0" w:line="240" w:lineRule="auto"/>
              <w:rPr>
                <w:rFonts w:ascii="Gill Sans MT" w:eastAsia="Times New Roman" w:hAnsi="Gill Sans MT" w:cs="Times New Roman"/>
                <w:i/>
                <w:iCs/>
                <w:color w:val="000000"/>
                <w:lang w:eastAsia="en-GB"/>
              </w:rPr>
            </w:pPr>
            <w:r w:rsidRPr="005B379E">
              <w:rPr>
                <w:rFonts w:ascii="Gill Sans MT" w:eastAsia="Times New Roman" w:hAnsi="Gill Sans MT" w:cs="Times New Roman"/>
                <w:i/>
                <w:iCs/>
                <w:color w:val="000000"/>
                <w:lang w:eastAsia="en-GB"/>
              </w:rPr>
              <w:t>Polity</w:t>
            </w:r>
            <w:r>
              <w:rPr>
                <w:rFonts w:ascii="Gill Sans MT" w:eastAsia="Times New Roman" w:hAnsi="Gill Sans MT" w:cs="Times New Roman"/>
                <w:i/>
                <w:iCs/>
                <w:color w:val="000000"/>
                <w:vertAlign w:val="subscript"/>
                <w:lang w:eastAsia="en-GB"/>
              </w:rPr>
              <w:t>i</w:t>
            </w:r>
            <w:r w:rsidRPr="005B379E">
              <w:rPr>
                <w:rFonts w:ascii="Gill Sans MT" w:eastAsia="Times New Roman" w:hAnsi="Gill Sans MT" w:cs="Times New Roman"/>
                <w:i/>
                <w:iCs/>
                <w:color w:val="000000"/>
                <w:vertAlign w:val="subscript"/>
                <w:lang w:eastAsia="en-GB"/>
              </w:rPr>
              <w:t>t</w:t>
            </w:r>
          </w:p>
        </w:tc>
        <w:tc>
          <w:tcPr>
            <w:tcW w:w="6800" w:type="dxa"/>
            <w:tcBorders>
              <w:top w:val="nil"/>
              <w:left w:val="nil"/>
              <w:bottom w:val="single" w:sz="12" w:space="0" w:color="AA273E"/>
              <w:right w:val="nil"/>
            </w:tcBorders>
            <w:shd w:val="clear" w:color="auto" w:fill="auto"/>
            <w:noWrap/>
            <w:vAlign w:val="center"/>
            <w:hideMark/>
          </w:tcPr>
          <w:p w:rsidR="002859D8" w:rsidRPr="005B379E" w:rsidRDefault="002859D8" w:rsidP="00B05451">
            <w:pPr>
              <w:spacing w:after="0" w:line="240" w:lineRule="auto"/>
              <w:rPr>
                <w:rFonts w:ascii="Gill Sans MT" w:eastAsia="Times New Roman" w:hAnsi="Gill Sans MT" w:cs="Times New Roman"/>
                <w:color w:val="000000"/>
                <w:sz w:val="24"/>
                <w:szCs w:val="24"/>
                <w:lang w:eastAsia="en-GB"/>
              </w:rPr>
            </w:pPr>
            <w:r>
              <w:rPr>
                <w:rFonts w:ascii="Gill Sans MT" w:eastAsia="Times New Roman" w:hAnsi="Gill Sans MT" w:cs="Times New Roman"/>
                <w:color w:val="000000"/>
                <w:sz w:val="24"/>
                <w:szCs w:val="24"/>
                <w:lang w:eastAsia="en-GB"/>
              </w:rPr>
              <w:t xml:space="preserve">Polity IV score, in country </w:t>
            </w:r>
            <w:r>
              <w:rPr>
                <w:rFonts w:ascii="Gill Sans MT" w:eastAsia="Times New Roman" w:hAnsi="Gill Sans MT" w:cs="Times New Roman"/>
                <w:i/>
                <w:color w:val="000000"/>
                <w:sz w:val="24"/>
                <w:szCs w:val="24"/>
                <w:lang w:eastAsia="en-GB"/>
              </w:rPr>
              <w:t>i</w:t>
            </w:r>
            <w:r>
              <w:rPr>
                <w:rFonts w:ascii="Gill Sans MT" w:eastAsia="Times New Roman" w:hAnsi="Gill Sans MT" w:cs="Times New Roman"/>
                <w:color w:val="000000"/>
                <w:sz w:val="24"/>
                <w:szCs w:val="24"/>
                <w:lang w:eastAsia="en-GB"/>
              </w:rPr>
              <w:t xml:space="preserve"> at time </w:t>
            </w:r>
            <w:r>
              <w:rPr>
                <w:rFonts w:ascii="Gill Sans MT" w:eastAsia="Times New Roman" w:hAnsi="Gill Sans MT" w:cs="Times New Roman"/>
                <w:i/>
                <w:color w:val="000000"/>
                <w:sz w:val="24"/>
                <w:szCs w:val="24"/>
                <w:lang w:eastAsia="en-GB"/>
              </w:rPr>
              <w:t>t</w:t>
            </w:r>
          </w:p>
        </w:tc>
      </w:tr>
      <w:tr w:rsidR="002859D8" w:rsidRPr="005B379E" w:rsidTr="00B05451">
        <w:trPr>
          <w:trHeight w:val="66"/>
        </w:trPr>
        <w:tc>
          <w:tcPr>
            <w:tcW w:w="9229" w:type="dxa"/>
            <w:gridSpan w:val="2"/>
            <w:tcBorders>
              <w:top w:val="single" w:sz="18" w:space="0" w:color="AA273E"/>
              <w:left w:val="nil"/>
              <w:bottom w:val="nil"/>
              <w:right w:val="nil"/>
            </w:tcBorders>
            <w:shd w:val="clear" w:color="auto" w:fill="auto"/>
            <w:noWrap/>
            <w:vAlign w:val="center"/>
            <w:hideMark/>
          </w:tcPr>
          <w:p w:rsidR="002859D8" w:rsidRPr="005B379E" w:rsidRDefault="002859D8" w:rsidP="00B05451">
            <w:pPr>
              <w:spacing w:after="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Appendix 1</w:t>
            </w:r>
            <w:r w:rsidRPr="005B379E">
              <w:rPr>
                <w:rFonts w:ascii="Gill Sans MT" w:eastAsia="Times New Roman" w:hAnsi="Gill Sans MT" w:cs="Times New Roman"/>
                <w:color w:val="000000"/>
                <w:lang w:eastAsia="en-GB"/>
              </w:rPr>
              <w:t xml:space="preserve">: this table </w:t>
            </w:r>
            <w:r>
              <w:rPr>
                <w:rFonts w:ascii="Gill Sans MT" w:eastAsia="Times New Roman" w:hAnsi="Gill Sans MT" w:cs="Times New Roman"/>
                <w:color w:val="000000"/>
                <w:lang w:eastAsia="en-GB"/>
              </w:rPr>
              <w:t>presents descriptions of the variables used.</w:t>
            </w:r>
          </w:p>
        </w:tc>
      </w:tr>
    </w:tbl>
    <w:p w:rsidR="002859D8" w:rsidRDefault="002859D8" w:rsidP="0028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New"/>
          <w:b/>
        </w:rPr>
      </w:pPr>
    </w:p>
    <w:p w:rsidR="008425C8" w:rsidRPr="00F55AA6" w:rsidRDefault="008425C8" w:rsidP="0028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New"/>
          <w:b/>
        </w:rPr>
      </w:pPr>
    </w:p>
    <w:tbl>
      <w:tblPr>
        <w:tblW w:w="9407" w:type="dxa"/>
        <w:tblInd w:w="93" w:type="dxa"/>
        <w:tblLook w:val="04A0" w:firstRow="1" w:lastRow="0" w:firstColumn="1" w:lastColumn="0" w:noHBand="0" w:noVBand="1"/>
      </w:tblPr>
      <w:tblGrid>
        <w:gridCol w:w="2695"/>
        <w:gridCol w:w="1906"/>
        <w:gridCol w:w="1163"/>
        <w:gridCol w:w="1236"/>
        <w:gridCol w:w="1084"/>
        <w:gridCol w:w="1323"/>
      </w:tblGrid>
      <w:tr w:rsidR="002859D8" w:rsidRPr="0014570A" w:rsidTr="00B05451">
        <w:trPr>
          <w:trHeight w:val="298"/>
        </w:trPr>
        <w:tc>
          <w:tcPr>
            <w:tcW w:w="9407" w:type="dxa"/>
            <w:gridSpan w:val="6"/>
            <w:tcBorders>
              <w:top w:val="nil"/>
              <w:left w:val="nil"/>
              <w:bottom w:val="nil"/>
              <w:right w:val="nil"/>
            </w:tcBorders>
            <w:shd w:val="clear" w:color="000000" w:fill="F2DCDB"/>
            <w:noWrap/>
            <w:vAlign w:val="center"/>
            <w:hideMark/>
          </w:tcPr>
          <w:p w:rsidR="002859D8" w:rsidRPr="0014570A" w:rsidRDefault="002859D8" w:rsidP="00B05451">
            <w:pPr>
              <w:spacing w:after="0" w:line="240" w:lineRule="auto"/>
              <w:rPr>
                <w:rFonts w:ascii="Gill Sans MT" w:eastAsia="Times New Roman" w:hAnsi="Gill Sans MT" w:cs="Times New Roman"/>
                <w:color w:val="AA273E"/>
                <w:sz w:val="28"/>
                <w:szCs w:val="28"/>
                <w:lang w:eastAsia="en-GB"/>
              </w:rPr>
            </w:pPr>
            <w:r>
              <w:rPr>
                <w:rFonts w:ascii="Gill Sans MT" w:eastAsia="Times New Roman" w:hAnsi="Gill Sans MT" w:cs="Times New Roman"/>
                <w:color w:val="AA273E"/>
                <w:sz w:val="28"/>
                <w:szCs w:val="28"/>
                <w:lang w:eastAsia="en-GB"/>
              </w:rPr>
              <w:t>Appendix 2</w:t>
            </w:r>
            <w:r w:rsidRPr="0014570A">
              <w:rPr>
                <w:rFonts w:ascii="Gill Sans MT" w:eastAsia="Times New Roman" w:hAnsi="Gill Sans MT" w:cs="Times New Roman"/>
                <w:color w:val="AA273E"/>
                <w:sz w:val="28"/>
                <w:szCs w:val="28"/>
                <w:lang w:eastAsia="en-GB"/>
              </w:rPr>
              <w:t>. Variable Summary Statistics</w:t>
            </w:r>
          </w:p>
        </w:tc>
      </w:tr>
      <w:tr w:rsidR="002859D8" w:rsidRPr="0014570A" w:rsidTr="00B05451">
        <w:trPr>
          <w:trHeight w:val="267"/>
        </w:trPr>
        <w:tc>
          <w:tcPr>
            <w:tcW w:w="2695" w:type="dxa"/>
            <w:tcBorders>
              <w:top w:val="nil"/>
              <w:left w:val="nil"/>
              <w:bottom w:val="single" w:sz="8" w:space="0" w:color="C00000"/>
              <w:right w:val="nil"/>
            </w:tcBorders>
            <w:shd w:val="clear" w:color="auto" w:fill="auto"/>
            <w:noWrap/>
            <w:vAlign w:val="center"/>
            <w:hideMark/>
          </w:tcPr>
          <w:p w:rsidR="002859D8" w:rsidRPr="0014570A" w:rsidRDefault="002859D8" w:rsidP="00B05451">
            <w:pPr>
              <w:spacing w:after="0" w:line="240" w:lineRule="auto"/>
              <w:rPr>
                <w:rFonts w:ascii="Gill Sans MT" w:eastAsia="Times New Roman" w:hAnsi="Gill Sans MT" w:cs="Times New Roman"/>
                <w:color w:val="000000"/>
                <w:sz w:val="24"/>
                <w:szCs w:val="24"/>
                <w:lang w:eastAsia="en-GB"/>
              </w:rPr>
            </w:pPr>
            <w:r w:rsidRPr="0014570A">
              <w:rPr>
                <w:rFonts w:ascii="Gill Sans MT" w:eastAsia="Times New Roman" w:hAnsi="Gill Sans MT" w:cs="Times New Roman"/>
                <w:color w:val="000000"/>
                <w:sz w:val="24"/>
                <w:szCs w:val="24"/>
                <w:lang w:eastAsia="en-GB"/>
              </w:rPr>
              <w:t>Variable</w:t>
            </w:r>
          </w:p>
        </w:tc>
        <w:tc>
          <w:tcPr>
            <w:tcW w:w="1906" w:type="dxa"/>
            <w:tcBorders>
              <w:top w:val="nil"/>
              <w:left w:val="nil"/>
              <w:bottom w:val="single" w:sz="8" w:space="0" w:color="C00000"/>
              <w:right w:val="nil"/>
            </w:tcBorders>
            <w:shd w:val="clear" w:color="auto" w:fill="auto"/>
            <w:noWrap/>
            <w:vAlign w:val="center"/>
            <w:hideMark/>
          </w:tcPr>
          <w:p w:rsidR="002859D8" w:rsidRPr="0014570A" w:rsidRDefault="002859D8" w:rsidP="00B05451">
            <w:pPr>
              <w:spacing w:after="0" w:line="240" w:lineRule="auto"/>
              <w:jc w:val="right"/>
              <w:rPr>
                <w:rFonts w:ascii="Gill Sans MT" w:eastAsia="Times New Roman" w:hAnsi="Gill Sans MT" w:cs="Times New Roman"/>
                <w:color w:val="000000"/>
                <w:lang w:eastAsia="en-GB"/>
              </w:rPr>
            </w:pPr>
            <w:r w:rsidRPr="0014570A">
              <w:rPr>
                <w:rFonts w:ascii="Gill Sans MT" w:eastAsia="Times New Roman" w:hAnsi="Gill Sans MT" w:cs="Times New Roman"/>
                <w:color w:val="000000"/>
                <w:lang w:eastAsia="en-GB"/>
              </w:rPr>
              <w:t>Observations</w:t>
            </w:r>
          </w:p>
        </w:tc>
        <w:tc>
          <w:tcPr>
            <w:tcW w:w="1163" w:type="dxa"/>
            <w:tcBorders>
              <w:top w:val="nil"/>
              <w:left w:val="nil"/>
              <w:bottom w:val="single" w:sz="8" w:space="0" w:color="C00000"/>
              <w:right w:val="nil"/>
            </w:tcBorders>
            <w:shd w:val="clear" w:color="auto" w:fill="auto"/>
            <w:noWrap/>
            <w:vAlign w:val="center"/>
            <w:hideMark/>
          </w:tcPr>
          <w:p w:rsidR="002859D8" w:rsidRPr="0014570A" w:rsidRDefault="002859D8" w:rsidP="00B05451">
            <w:pPr>
              <w:spacing w:after="0" w:line="240" w:lineRule="auto"/>
              <w:jc w:val="right"/>
              <w:rPr>
                <w:rFonts w:ascii="Gill Sans MT" w:eastAsia="Times New Roman" w:hAnsi="Gill Sans MT" w:cs="Times New Roman"/>
                <w:color w:val="000000"/>
                <w:lang w:eastAsia="en-GB"/>
              </w:rPr>
            </w:pPr>
            <w:r w:rsidRPr="0014570A">
              <w:rPr>
                <w:rFonts w:ascii="Gill Sans MT" w:eastAsia="Times New Roman" w:hAnsi="Gill Sans MT" w:cs="Times New Roman"/>
                <w:color w:val="000000"/>
                <w:lang w:eastAsia="en-GB"/>
              </w:rPr>
              <w:t>Mean</w:t>
            </w:r>
          </w:p>
        </w:tc>
        <w:tc>
          <w:tcPr>
            <w:tcW w:w="1236" w:type="dxa"/>
            <w:tcBorders>
              <w:top w:val="nil"/>
              <w:left w:val="nil"/>
              <w:bottom w:val="single" w:sz="8" w:space="0" w:color="C00000"/>
              <w:right w:val="nil"/>
            </w:tcBorders>
            <w:shd w:val="clear" w:color="auto" w:fill="auto"/>
            <w:noWrap/>
            <w:vAlign w:val="center"/>
            <w:hideMark/>
          </w:tcPr>
          <w:p w:rsidR="002859D8" w:rsidRPr="0014570A" w:rsidRDefault="002859D8" w:rsidP="00B05451">
            <w:pPr>
              <w:spacing w:after="0" w:line="240" w:lineRule="auto"/>
              <w:jc w:val="right"/>
              <w:rPr>
                <w:rFonts w:ascii="Gill Sans MT" w:eastAsia="Times New Roman" w:hAnsi="Gill Sans MT" w:cs="Times New Roman"/>
                <w:color w:val="000000"/>
                <w:lang w:eastAsia="en-GB"/>
              </w:rPr>
            </w:pPr>
            <w:r w:rsidRPr="0014570A">
              <w:rPr>
                <w:rFonts w:ascii="Gill Sans MT" w:eastAsia="Times New Roman" w:hAnsi="Gill Sans MT" w:cs="Times New Roman"/>
                <w:color w:val="000000"/>
                <w:lang w:eastAsia="en-GB"/>
              </w:rPr>
              <w:t>Std. Dev.</w:t>
            </w:r>
          </w:p>
        </w:tc>
        <w:tc>
          <w:tcPr>
            <w:tcW w:w="1084" w:type="dxa"/>
            <w:tcBorders>
              <w:top w:val="nil"/>
              <w:left w:val="nil"/>
              <w:bottom w:val="single" w:sz="8" w:space="0" w:color="C00000"/>
              <w:right w:val="nil"/>
            </w:tcBorders>
            <w:shd w:val="clear" w:color="auto" w:fill="auto"/>
            <w:noWrap/>
            <w:vAlign w:val="center"/>
            <w:hideMark/>
          </w:tcPr>
          <w:p w:rsidR="002859D8" w:rsidRPr="0014570A" w:rsidRDefault="002859D8" w:rsidP="00B05451">
            <w:pPr>
              <w:spacing w:after="0" w:line="240" w:lineRule="auto"/>
              <w:jc w:val="right"/>
              <w:rPr>
                <w:rFonts w:ascii="Gill Sans MT" w:eastAsia="Times New Roman" w:hAnsi="Gill Sans MT" w:cs="Times New Roman"/>
                <w:color w:val="000000"/>
                <w:lang w:eastAsia="en-GB"/>
              </w:rPr>
            </w:pPr>
            <w:r w:rsidRPr="0014570A">
              <w:rPr>
                <w:rFonts w:ascii="Gill Sans MT" w:eastAsia="Times New Roman" w:hAnsi="Gill Sans MT" w:cs="Times New Roman"/>
                <w:color w:val="000000"/>
                <w:lang w:eastAsia="en-GB"/>
              </w:rPr>
              <w:t>Min</w:t>
            </w:r>
          </w:p>
        </w:tc>
        <w:tc>
          <w:tcPr>
            <w:tcW w:w="1322" w:type="dxa"/>
            <w:tcBorders>
              <w:top w:val="nil"/>
              <w:left w:val="nil"/>
              <w:bottom w:val="single" w:sz="8" w:space="0" w:color="C00000"/>
              <w:right w:val="nil"/>
            </w:tcBorders>
            <w:shd w:val="clear" w:color="auto" w:fill="auto"/>
            <w:noWrap/>
            <w:vAlign w:val="center"/>
            <w:hideMark/>
          </w:tcPr>
          <w:p w:rsidR="002859D8" w:rsidRPr="0014570A" w:rsidRDefault="002859D8" w:rsidP="00B05451">
            <w:pPr>
              <w:spacing w:after="0" w:line="240" w:lineRule="auto"/>
              <w:jc w:val="right"/>
              <w:rPr>
                <w:rFonts w:ascii="Gill Sans MT" w:eastAsia="Times New Roman" w:hAnsi="Gill Sans MT" w:cs="Times New Roman"/>
                <w:color w:val="000000"/>
                <w:lang w:eastAsia="en-GB"/>
              </w:rPr>
            </w:pPr>
            <w:r w:rsidRPr="0014570A">
              <w:rPr>
                <w:rFonts w:ascii="Gill Sans MT" w:eastAsia="Times New Roman" w:hAnsi="Gill Sans MT" w:cs="Times New Roman"/>
                <w:color w:val="000000"/>
                <w:lang w:eastAsia="en-GB"/>
              </w:rPr>
              <w:t>Max</w:t>
            </w:r>
          </w:p>
        </w:tc>
      </w:tr>
      <w:tr w:rsidR="002859D8" w:rsidRPr="0014570A" w:rsidTr="00B05451">
        <w:trPr>
          <w:trHeight w:val="267"/>
        </w:trPr>
        <w:tc>
          <w:tcPr>
            <w:tcW w:w="2695" w:type="dxa"/>
            <w:tcBorders>
              <w:top w:val="single" w:sz="8" w:space="0" w:color="C00000"/>
              <w:left w:val="nil"/>
              <w:bottom w:val="nil"/>
              <w:right w:val="nil"/>
            </w:tcBorders>
            <w:shd w:val="clear" w:color="auto" w:fill="auto"/>
            <w:noWrap/>
            <w:vAlign w:val="bottom"/>
            <w:hideMark/>
          </w:tcPr>
          <w:p w:rsidR="002859D8" w:rsidRPr="0014570A" w:rsidRDefault="002859D8" w:rsidP="00B05451">
            <w:pPr>
              <w:spacing w:after="0" w:line="240" w:lineRule="auto"/>
              <w:rPr>
                <w:rFonts w:ascii="Gill Sans MT" w:eastAsia="Times New Roman" w:hAnsi="Gill Sans MT" w:cs="Times New Roman"/>
                <w:i/>
                <w:iCs/>
                <w:color w:val="000000"/>
                <w:lang w:eastAsia="en-GB"/>
              </w:rPr>
            </w:pPr>
            <w:r w:rsidRPr="0014570A">
              <w:rPr>
                <w:rFonts w:ascii="Gill Sans MT" w:eastAsia="Times New Roman" w:hAnsi="Gill Sans MT" w:cs="Times New Roman"/>
                <w:i/>
                <w:iCs/>
                <w:color w:val="000000"/>
                <w:lang w:eastAsia="en-GB"/>
              </w:rPr>
              <w:t>FDI</w:t>
            </w:r>
            <w:r w:rsidRPr="0014570A">
              <w:rPr>
                <w:rFonts w:ascii="Gill Sans MT" w:eastAsia="Times New Roman" w:hAnsi="Gill Sans MT" w:cs="Times New Roman"/>
                <w:i/>
                <w:iCs/>
                <w:color w:val="000000"/>
                <w:vertAlign w:val="subscript"/>
                <w:lang w:eastAsia="en-GB"/>
              </w:rPr>
              <w:t>ijt</w:t>
            </w:r>
          </w:p>
        </w:tc>
        <w:tc>
          <w:tcPr>
            <w:tcW w:w="1906" w:type="dxa"/>
            <w:tcBorders>
              <w:top w:val="single" w:sz="8" w:space="0" w:color="C00000"/>
              <w:left w:val="nil"/>
              <w:bottom w:val="nil"/>
              <w:right w:val="nil"/>
            </w:tcBorders>
            <w:shd w:val="clear" w:color="auto" w:fill="auto"/>
            <w:noWrap/>
            <w:vAlign w:val="center"/>
            <w:hideMark/>
          </w:tcPr>
          <w:p w:rsidR="002859D8" w:rsidRPr="0014570A" w:rsidRDefault="002859D8" w:rsidP="00B05451">
            <w:pPr>
              <w:spacing w:after="0" w:line="240" w:lineRule="auto"/>
              <w:jc w:val="right"/>
              <w:rPr>
                <w:rFonts w:ascii="Gill Sans MT" w:eastAsia="Times New Roman" w:hAnsi="Gill Sans MT" w:cs="Times New Roman"/>
                <w:color w:val="000000"/>
                <w:lang w:eastAsia="en-GB"/>
              </w:rPr>
            </w:pPr>
            <w:r w:rsidRPr="0014570A">
              <w:rPr>
                <w:rFonts w:ascii="Gill Sans MT" w:eastAsia="Times New Roman" w:hAnsi="Gill Sans MT" w:cs="Times New Roman"/>
                <w:color w:val="000000"/>
                <w:lang w:eastAsia="en-GB"/>
              </w:rPr>
              <w:t>20985</w:t>
            </w:r>
          </w:p>
        </w:tc>
        <w:tc>
          <w:tcPr>
            <w:tcW w:w="1163" w:type="dxa"/>
            <w:tcBorders>
              <w:top w:val="single" w:sz="8" w:space="0" w:color="C00000"/>
              <w:left w:val="nil"/>
              <w:bottom w:val="nil"/>
              <w:right w:val="nil"/>
            </w:tcBorders>
            <w:shd w:val="clear" w:color="auto" w:fill="auto"/>
            <w:noWrap/>
            <w:vAlign w:val="center"/>
            <w:hideMark/>
          </w:tcPr>
          <w:p w:rsidR="002859D8" w:rsidRPr="0014570A" w:rsidRDefault="002859D8" w:rsidP="00B05451">
            <w:pPr>
              <w:spacing w:after="0" w:line="240" w:lineRule="auto"/>
              <w:jc w:val="right"/>
              <w:rPr>
                <w:rFonts w:ascii="Gill Sans MT" w:eastAsia="Times New Roman" w:hAnsi="Gill Sans MT" w:cs="Times New Roman"/>
                <w:color w:val="000000"/>
                <w:lang w:eastAsia="en-GB"/>
              </w:rPr>
            </w:pPr>
            <w:r w:rsidRPr="0014570A">
              <w:rPr>
                <w:rFonts w:ascii="Gill Sans MT" w:eastAsia="Times New Roman" w:hAnsi="Gill Sans MT" w:cs="Times New Roman"/>
                <w:color w:val="000000"/>
                <w:lang w:eastAsia="en-GB"/>
              </w:rPr>
              <w:t>681.01</w:t>
            </w:r>
          </w:p>
        </w:tc>
        <w:tc>
          <w:tcPr>
            <w:tcW w:w="1236" w:type="dxa"/>
            <w:tcBorders>
              <w:top w:val="single" w:sz="8" w:space="0" w:color="C00000"/>
              <w:left w:val="nil"/>
              <w:bottom w:val="nil"/>
              <w:right w:val="nil"/>
            </w:tcBorders>
            <w:shd w:val="clear" w:color="auto" w:fill="auto"/>
            <w:noWrap/>
            <w:vAlign w:val="center"/>
            <w:hideMark/>
          </w:tcPr>
          <w:p w:rsidR="002859D8" w:rsidRPr="0014570A" w:rsidRDefault="002859D8" w:rsidP="00B05451">
            <w:pPr>
              <w:spacing w:after="0" w:line="240" w:lineRule="auto"/>
              <w:jc w:val="right"/>
              <w:rPr>
                <w:rFonts w:ascii="Gill Sans MT" w:eastAsia="Times New Roman" w:hAnsi="Gill Sans MT" w:cs="Times New Roman"/>
                <w:color w:val="000000"/>
                <w:lang w:eastAsia="en-GB"/>
              </w:rPr>
            </w:pPr>
            <w:r w:rsidRPr="0014570A">
              <w:rPr>
                <w:rFonts w:ascii="Gill Sans MT" w:eastAsia="Times New Roman" w:hAnsi="Gill Sans MT" w:cs="Times New Roman"/>
                <w:color w:val="000000"/>
                <w:lang w:eastAsia="en-GB"/>
              </w:rPr>
              <w:t>4382.84</w:t>
            </w:r>
          </w:p>
        </w:tc>
        <w:tc>
          <w:tcPr>
            <w:tcW w:w="1084" w:type="dxa"/>
            <w:tcBorders>
              <w:top w:val="single" w:sz="8" w:space="0" w:color="C00000"/>
              <w:left w:val="nil"/>
              <w:bottom w:val="nil"/>
              <w:right w:val="nil"/>
            </w:tcBorders>
            <w:shd w:val="clear" w:color="auto" w:fill="auto"/>
            <w:noWrap/>
            <w:vAlign w:val="center"/>
            <w:hideMark/>
          </w:tcPr>
          <w:p w:rsidR="002859D8" w:rsidRPr="0014570A" w:rsidRDefault="002859D8" w:rsidP="00B05451">
            <w:pPr>
              <w:spacing w:after="0" w:line="240" w:lineRule="auto"/>
              <w:jc w:val="right"/>
              <w:rPr>
                <w:rFonts w:ascii="Gill Sans MT" w:eastAsia="Times New Roman" w:hAnsi="Gill Sans MT" w:cs="Times New Roman"/>
                <w:color w:val="000000"/>
                <w:lang w:eastAsia="en-GB"/>
              </w:rPr>
            </w:pPr>
            <w:r w:rsidRPr="0014570A">
              <w:rPr>
                <w:rFonts w:ascii="Gill Sans MT" w:eastAsia="Times New Roman" w:hAnsi="Gill Sans MT" w:cs="Times New Roman"/>
                <w:color w:val="000000"/>
                <w:lang w:eastAsia="en-GB"/>
              </w:rPr>
              <w:t>-95814</w:t>
            </w:r>
          </w:p>
        </w:tc>
        <w:tc>
          <w:tcPr>
            <w:tcW w:w="1322" w:type="dxa"/>
            <w:tcBorders>
              <w:top w:val="single" w:sz="8" w:space="0" w:color="C00000"/>
              <w:left w:val="nil"/>
              <w:bottom w:val="nil"/>
              <w:right w:val="nil"/>
            </w:tcBorders>
            <w:shd w:val="clear" w:color="auto" w:fill="auto"/>
            <w:noWrap/>
            <w:vAlign w:val="center"/>
            <w:hideMark/>
          </w:tcPr>
          <w:p w:rsidR="002859D8" w:rsidRPr="0014570A" w:rsidRDefault="002859D8" w:rsidP="00B05451">
            <w:pPr>
              <w:spacing w:after="0" w:line="240" w:lineRule="auto"/>
              <w:jc w:val="right"/>
              <w:rPr>
                <w:rFonts w:ascii="Gill Sans MT" w:eastAsia="Times New Roman" w:hAnsi="Gill Sans MT" w:cs="Times New Roman"/>
                <w:color w:val="000000"/>
                <w:lang w:eastAsia="en-GB"/>
              </w:rPr>
            </w:pPr>
            <w:r w:rsidRPr="0014570A">
              <w:rPr>
                <w:rFonts w:ascii="Gill Sans MT" w:eastAsia="Times New Roman" w:hAnsi="Gill Sans MT" w:cs="Times New Roman"/>
                <w:color w:val="000000"/>
                <w:lang w:eastAsia="en-GB"/>
              </w:rPr>
              <w:t>143298</w:t>
            </w:r>
          </w:p>
        </w:tc>
      </w:tr>
      <w:tr w:rsidR="002859D8" w:rsidRPr="0014570A" w:rsidTr="00B05451">
        <w:trPr>
          <w:trHeight w:val="267"/>
        </w:trPr>
        <w:tc>
          <w:tcPr>
            <w:tcW w:w="2695" w:type="dxa"/>
            <w:tcBorders>
              <w:top w:val="nil"/>
              <w:left w:val="nil"/>
              <w:bottom w:val="nil"/>
              <w:right w:val="nil"/>
            </w:tcBorders>
            <w:shd w:val="clear" w:color="auto" w:fill="auto"/>
            <w:noWrap/>
            <w:vAlign w:val="center"/>
            <w:hideMark/>
          </w:tcPr>
          <w:p w:rsidR="002859D8" w:rsidRPr="0014570A" w:rsidRDefault="002859D8" w:rsidP="00B05451">
            <w:pPr>
              <w:spacing w:after="0" w:line="240" w:lineRule="auto"/>
              <w:rPr>
                <w:rFonts w:ascii="Gill Sans MT" w:eastAsia="Times New Roman" w:hAnsi="Gill Sans MT" w:cs="Times New Roman"/>
                <w:i/>
                <w:iCs/>
                <w:color w:val="000000"/>
                <w:lang w:eastAsia="en-GB"/>
              </w:rPr>
            </w:pPr>
            <w:r w:rsidRPr="0014570A">
              <w:rPr>
                <w:rFonts w:ascii="Gill Sans MT" w:eastAsia="Times New Roman" w:hAnsi="Gill Sans MT" w:cs="Times New Roman"/>
                <w:i/>
                <w:iCs/>
                <w:color w:val="000000"/>
                <w:lang w:eastAsia="en-GB"/>
              </w:rPr>
              <w:t>GDP</w:t>
            </w:r>
            <w:r w:rsidRPr="0014570A">
              <w:rPr>
                <w:rFonts w:ascii="Gill Sans MT" w:eastAsia="Times New Roman" w:hAnsi="Gill Sans MT" w:cs="Times New Roman"/>
                <w:i/>
                <w:iCs/>
                <w:color w:val="000000"/>
                <w:vertAlign w:val="subscript"/>
                <w:lang w:eastAsia="en-GB"/>
              </w:rPr>
              <w:t>it</w:t>
            </w:r>
          </w:p>
        </w:tc>
        <w:tc>
          <w:tcPr>
            <w:tcW w:w="1906" w:type="dxa"/>
            <w:tcBorders>
              <w:top w:val="nil"/>
              <w:left w:val="nil"/>
              <w:bottom w:val="nil"/>
              <w:right w:val="nil"/>
            </w:tcBorders>
            <w:shd w:val="clear" w:color="auto" w:fill="auto"/>
            <w:noWrap/>
            <w:vAlign w:val="center"/>
            <w:hideMark/>
          </w:tcPr>
          <w:p w:rsidR="002859D8" w:rsidRPr="0014570A" w:rsidRDefault="002859D8" w:rsidP="00B05451">
            <w:pPr>
              <w:spacing w:after="0" w:line="240" w:lineRule="auto"/>
              <w:jc w:val="right"/>
              <w:rPr>
                <w:rFonts w:ascii="Gill Sans MT" w:eastAsia="Times New Roman" w:hAnsi="Gill Sans MT" w:cs="Times New Roman"/>
                <w:color w:val="000000"/>
                <w:lang w:eastAsia="en-GB"/>
              </w:rPr>
            </w:pPr>
            <w:r w:rsidRPr="0014570A">
              <w:rPr>
                <w:rFonts w:ascii="Gill Sans MT" w:eastAsia="Times New Roman" w:hAnsi="Gill Sans MT" w:cs="Times New Roman"/>
                <w:color w:val="000000"/>
                <w:lang w:eastAsia="en-GB"/>
              </w:rPr>
              <w:t>33561</w:t>
            </w:r>
          </w:p>
        </w:tc>
        <w:tc>
          <w:tcPr>
            <w:tcW w:w="1163" w:type="dxa"/>
            <w:tcBorders>
              <w:top w:val="nil"/>
              <w:left w:val="nil"/>
              <w:bottom w:val="nil"/>
              <w:right w:val="nil"/>
            </w:tcBorders>
            <w:shd w:val="clear" w:color="auto" w:fill="auto"/>
            <w:noWrap/>
            <w:vAlign w:val="center"/>
            <w:hideMark/>
          </w:tcPr>
          <w:p w:rsidR="002859D8" w:rsidRPr="0014570A" w:rsidRDefault="002859D8" w:rsidP="00B05451">
            <w:pPr>
              <w:spacing w:after="0" w:line="240" w:lineRule="auto"/>
              <w:jc w:val="right"/>
              <w:rPr>
                <w:rFonts w:ascii="Gill Sans MT" w:eastAsia="Times New Roman" w:hAnsi="Gill Sans MT" w:cs="Times New Roman"/>
                <w:color w:val="000000"/>
                <w:lang w:eastAsia="en-GB"/>
              </w:rPr>
            </w:pPr>
            <w:r w:rsidRPr="0014570A">
              <w:rPr>
                <w:rFonts w:ascii="Gill Sans MT" w:eastAsia="Times New Roman" w:hAnsi="Gill Sans MT" w:cs="Times New Roman"/>
                <w:color w:val="000000"/>
                <w:lang w:eastAsia="en-GB"/>
              </w:rPr>
              <w:t>1096891</w:t>
            </w:r>
          </w:p>
        </w:tc>
        <w:tc>
          <w:tcPr>
            <w:tcW w:w="1236" w:type="dxa"/>
            <w:tcBorders>
              <w:top w:val="nil"/>
              <w:left w:val="nil"/>
              <w:bottom w:val="nil"/>
              <w:right w:val="nil"/>
            </w:tcBorders>
            <w:shd w:val="clear" w:color="auto" w:fill="auto"/>
            <w:noWrap/>
            <w:vAlign w:val="center"/>
            <w:hideMark/>
          </w:tcPr>
          <w:p w:rsidR="002859D8" w:rsidRPr="0014570A" w:rsidRDefault="002859D8" w:rsidP="00B05451">
            <w:pPr>
              <w:spacing w:after="0" w:line="240" w:lineRule="auto"/>
              <w:jc w:val="right"/>
              <w:rPr>
                <w:rFonts w:ascii="Gill Sans MT" w:eastAsia="Times New Roman" w:hAnsi="Gill Sans MT" w:cs="Times New Roman"/>
                <w:color w:val="000000"/>
                <w:lang w:eastAsia="en-GB"/>
              </w:rPr>
            </w:pPr>
            <w:r w:rsidRPr="0014570A">
              <w:rPr>
                <w:rFonts w:ascii="Gill Sans MT" w:eastAsia="Times New Roman" w:hAnsi="Gill Sans MT" w:cs="Times New Roman"/>
                <w:color w:val="000000"/>
                <w:lang w:eastAsia="en-GB"/>
              </w:rPr>
              <w:t>2231455</w:t>
            </w:r>
          </w:p>
        </w:tc>
        <w:tc>
          <w:tcPr>
            <w:tcW w:w="1084" w:type="dxa"/>
            <w:tcBorders>
              <w:top w:val="nil"/>
              <w:left w:val="nil"/>
              <w:bottom w:val="nil"/>
              <w:right w:val="nil"/>
            </w:tcBorders>
            <w:shd w:val="clear" w:color="auto" w:fill="auto"/>
            <w:noWrap/>
            <w:vAlign w:val="center"/>
            <w:hideMark/>
          </w:tcPr>
          <w:p w:rsidR="002859D8" w:rsidRPr="0014570A" w:rsidRDefault="002859D8" w:rsidP="00B05451">
            <w:pPr>
              <w:spacing w:after="0" w:line="240" w:lineRule="auto"/>
              <w:jc w:val="right"/>
              <w:rPr>
                <w:rFonts w:ascii="Gill Sans MT" w:eastAsia="Times New Roman" w:hAnsi="Gill Sans MT" w:cs="Times New Roman"/>
                <w:color w:val="000000"/>
                <w:lang w:eastAsia="en-GB"/>
              </w:rPr>
            </w:pPr>
            <w:r w:rsidRPr="0014570A">
              <w:rPr>
                <w:rFonts w:ascii="Gill Sans MT" w:eastAsia="Times New Roman" w:hAnsi="Gill Sans MT" w:cs="Times New Roman"/>
                <w:color w:val="000000"/>
                <w:lang w:eastAsia="en-GB"/>
              </w:rPr>
              <w:t>6280.94</w:t>
            </w:r>
          </w:p>
        </w:tc>
        <w:tc>
          <w:tcPr>
            <w:tcW w:w="1322" w:type="dxa"/>
            <w:tcBorders>
              <w:top w:val="nil"/>
              <w:left w:val="nil"/>
              <w:bottom w:val="nil"/>
              <w:right w:val="nil"/>
            </w:tcBorders>
            <w:shd w:val="clear" w:color="auto" w:fill="auto"/>
            <w:noWrap/>
            <w:vAlign w:val="center"/>
            <w:hideMark/>
          </w:tcPr>
          <w:p w:rsidR="002859D8" w:rsidRPr="0014570A" w:rsidRDefault="002859D8" w:rsidP="00B05451">
            <w:pPr>
              <w:spacing w:after="0" w:line="240" w:lineRule="auto"/>
              <w:jc w:val="right"/>
              <w:rPr>
                <w:rFonts w:ascii="Gill Sans MT" w:eastAsia="Times New Roman" w:hAnsi="Gill Sans MT" w:cs="Times New Roman"/>
                <w:color w:val="000000"/>
                <w:lang w:eastAsia="en-GB"/>
              </w:rPr>
            </w:pPr>
            <w:r w:rsidRPr="0014570A">
              <w:rPr>
                <w:rFonts w:ascii="Gill Sans MT" w:eastAsia="Times New Roman" w:hAnsi="Gill Sans MT" w:cs="Times New Roman"/>
                <w:color w:val="000000"/>
                <w:lang w:eastAsia="en-GB"/>
              </w:rPr>
              <w:t>16597446</w:t>
            </w:r>
          </w:p>
        </w:tc>
      </w:tr>
      <w:tr w:rsidR="002859D8" w:rsidRPr="0014570A" w:rsidTr="00B05451">
        <w:trPr>
          <w:trHeight w:val="267"/>
        </w:trPr>
        <w:tc>
          <w:tcPr>
            <w:tcW w:w="2695" w:type="dxa"/>
            <w:tcBorders>
              <w:top w:val="nil"/>
              <w:left w:val="nil"/>
              <w:bottom w:val="nil"/>
              <w:right w:val="nil"/>
            </w:tcBorders>
            <w:shd w:val="clear" w:color="auto" w:fill="auto"/>
            <w:vAlign w:val="center"/>
            <w:hideMark/>
          </w:tcPr>
          <w:p w:rsidR="002859D8" w:rsidRPr="0014570A" w:rsidRDefault="002859D8" w:rsidP="00B05451">
            <w:pPr>
              <w:spacing w:after="0" w:line="240" w:lineRule="auto"/>
              <w:rPr>
                <w:rFonts w:ascii="Gill Sans MT" w:eastAsia="Times New Roman" w:hAnsi="Gill Sans MT" w:cs="Times New Roman"/>
                <w:i/>
                <w:iCs/>
                <w:color w:val="000000"/>
                <w:lang w:eastAsia="en-GB"/>
              </w:rPr>
            </w:pPr>
            <w:r w:rsidRPr="0014570A">
              <w:rPr>
                <w:rFonts w:ascii="Gill Sans MT" w:eastAsia="Times New Roman" w:hAnsi="Gill Sans MT" w:cs="Times New Roman"/>
                <w:i/>
                <w:iCs/>
                <w:color w:val="000000"/>
                <w:lang w:eastAsia="en-GB"/>
              </w:rPr>
              <w:t>GDP</w:t>
            </w:r>
            <w:r w:rsidRPr="0014570A">
              <w:rPr>
                <w:rFonts w:ascii="Gill Sans MT" w:eastAsia="Times New Roman" w:hAnsi="Gill Sans MT" w:cs="Times New Roman"/>
                <w:i/>
                <w:iCs/>
                <w:color w:val="000000"/>
                <w:vertAlign w:val="subscript"/>
                <w:lang w:eastAsia="en-GB"/>
              </w:rPr>
              <w:t>jt</w:t>
            </w:r>
          </w:p>
        </w:tc>
        <w:tc>
          <w:tcPr>
            <w:tcW w:w="1906" w:type="dxa"/>
            <w:tcBorders>
              <w:top w:val="nil"/>
              <w:left w:val="nil"/>
              <w:bottom w:val="nil"/>
              <w:right w:val="nil"/>
            </w:tcBorders>
            <w:shd w:val="clear" w:color="auto" w:fill="auto"/>
            <w:noWrap/>
            <w:vAlign w:val="center"/>
            <w:hideMark/>
          </w:tcPr>
          <w:p w:rsidR="002859D8" w:rsidRPr="0014570A" w:rsidRDefault="002859D8" w:rsidP="00B05451">
            <w:pPr>
              <w:spacing w:after="0" w:line="240" w:lineRule="auto"/>
              <w:jc w:val="right"/>
              <w:rPr>
                <w:rFonts w:ascii="Gill Sans MT" w:eastAsia="Times New Roman" w:hAnsi="Gill Sans MT" w:cs="Times New Roman"/>
                <w:color w:val="000000"/>
                <w:lang w:eastAsia="en-GB"/>
              </w:rPr>
            </w:pPr>
            <w:r w:rsidRPr="0014570A">
              <w:rPr>
                <w:rFonts w:ascii="Gill Sans MT" w:eastAsia="Times New Roman" w:hAnsi="Gill Sans MT" w:cs="Times New Roman"/>
                <w:color w:val="000000"/>
                <w:lang w:eastAsia="en-GB"/>
              </w:rPr>
              <w:t>33561</w:t>
            </w:r>
          </w:p>
        </w:tc>
        <w:tc>
          <w:tcPr>
            <w:tcW w:w="1163" w:type="dxa"/>
            <w:tcBorders>
              <w:top w:val="nil"/>
              <w:left w:val="nil"/>
              <w:bottom w:val="nil"/>
              <w:right w:val="nil"/>
            </w:tcBorders>
            <w:shd w:val="clear" w:color="auto" w:fill="auto"/>
            <w:noWrap/>
            <w:vAlign w:val="center"/>
            <w:hideMark/>
          </w:tcPr>
          <w:p w:rsidR="002859D8" w:rsidRPr="0014570A" w:rsidRDefault="002859D8" w:rsidP="00B05451">
            <w:pPr>
              <w:spacing w:after="0" w:line="240" w:lineRule="auto"/>
              <w:jc w:val="right"/>
              <w:rPr>
                <w:rFonts w:ascii="Gill Sans MT" w:eastAsia="Times New Roman" w:hAnsi="Gill Sans MT" w:cs="Times New Roman"/>
                <w:color w:val="000000"/>
                <w:lang w:eastAsia="en-GB"/>
              </w:rPr>
            </w:pPr>
            <w:r w:rsidRPr="0014570A">
              <w:rPr>
                <w:rFonts w:ascii="Gill Sans MT" w:eastAsia="Times New Roman" w:hAnsi="Gill Sans MT" w:cs="Times New Roman"/>
                <w:color w:val="000000"/>
                <w:lang w:eastAsia="en-GB"/>
              </w:rPr>
              <w:t>1096891</w:t>
            </w:r>
          </w:p>
        </w:tc>
        <w:tc>
          <w:tcPr>
            <w:tcW w:w="1236" w:type="dxa"/>
            <w:tcBorders>
              <w:top w:val="nil"/>
              <w:left w:val="nil"/>
              <w:bottom w:val="nil"/>
              <w:right w:val="nil"/>
            </w:tcBorders>
            <w:shd w:val="clear" w:color="auto" w:fill="auto"/>
            <w:noWrap/>
            <w:vAlign w:val="center"/>
            <w:hideMark/>
          </w:tcPr>
          <w:p w:rsidR="002859D8" w:rsidRPr="0014570A" w:rsidRDefault="002859D8" w:rsidP="00B05451">
            <w:pPr>
              <w:spacing w:after="0" w:line="240" w:lineRule="auto"/>
              <w:jc w:val="right"/>
              <w:rPr>
                <w:rFonts w:ascii="Gill Sans MT" w:eastAsia="Times New Roman" w:hAnsi="Gill Sans MT" w:cs="Times New Roman"/>
                <w:color w:val="000000"/>
                <w:lang w:eastAsia="en-GB"/>
              </w:rPr>
            </w:pPr>
            <w:r w:rsidRPr="0014570A">
              <w:rPr>
                <w:rFonts w:ascii="Gill Sans MT" w:eastAsia="Times New Roman" w:hAnsi="Gill Sans MT" w:cs="Times New Roman"/>
                <w:color w:val="000000"/>
                <w:lang w:eastAsia="en-GB"/>
              </w:rPr>
              <w:t>2231455</w:t>
            </w:r>
          </w:p>
        </w:tc>
        <w:tc>
          <w:tcPr>
            <w:tcW w:w="1084" w:type="dxa"/>
            <w:tcBorders>
              <w:top w:val="nil"/>
              <w:left w:val="nil"/>
              <w:bottom w:val="nil"/>
              <w:right w:val="nil"/>
            </w:tcBorders>
            <w:shd w:val="clear" w:color="auto" w:fill="auto"/>
            <w:noWrap/>
            <w:vAlign w:val="center"/>
            <w:hideMark/>
          </w:tcPr>
          <w:p w:rsidR="002859D8" w:rsidRPr="0014570A" w:rsidRDefault="002859D8" w:rsidP="00B05451">
            <w:pPr>
              <w:spacing w:after="0" w:line="240" w:lineRule="auto"/>
              <w:jc w:val="right"/>
              <w:rPr>
                <w:rFonts w:ascii="Gill Sans MT" w:eastAsia="Times New Roman" w:hAnsi="Gill Sans MT" w:cs="Times New Roman"/>
                <w:color w:val="000000"/>
                <w:lang w:eastAsia="en-GB"/>
              </w:rPr>
            </w:pPr>
            <w:r w:rsidRPr="0014570A">
              <w:rPr>
                <w:rFonts w:ascii="Gill Sans MT" w:eastAsia="Times New Roman" w:hAnsi="Gill Sans MT" w:cs="Times New Roman"/>
                <w:color w:val="000000"/>
                <w:lang w:eastAsia="en-GB"/>
              </w:rPr>
              <w:t>6280.94</w:t>
            </w:r>
          </w:p>
        </w:tc>
        <w:tc>
          <w:tcPr>
            <w:tcW w:w="1322" w:type="dxa"/>
            <w:tcBorders>
              <w:top w:val="nil"/>
              <w:left w:val="nil"/>
              <w:bottom w:val="nil"/>
              <w:right w:val="nil"/>
            </w:tcBorders>
            <w:shd w:val="clear" w:color="auto" w:fill="auto"/>
            <w:noWrap/>
            <w:vAlign w:val="center"/>
            <w:hideMark/>
          </w:tcPr>
          <w:p w:rsidR="002859D8" w:rsidRPr="0014570A" w:rsidRDefault="002859D8" w:rsidP="00B05451">
            <w:pPr>
              <w:spacing w:after="0" w:line="240" w:lineRule="auto"/>
              <w:jc w:val="right"/>
              <w:rPr>
                <w:rFonts w:ascii="Gill Sans MT" w:eastAsia="Times New Roman" w:hAnsi="Gill Sans MT" w:cs="Times New Roman"/>
                <w:color w:val="000000"/>
                <w:lang w:eastAsia="en-GB"/>
              </w:rPr>
            </w:pPr>
            <w:r w:rsidRPr="0014570A">
              <w:rPr>
                <w:rFonts w:ascii="Gill Sans MT" w:eastAsia="Times New Roman" w:hAnsi="Gill Sans MT" w:cs="Times New Roman"/>
                <w:color w:val="000000"/>
                <w:lang w:eastAsia="en-GB"/>
              </w:rPr>
              <w:t>16597446</w:t>
            </w:r>
          </w:p>
        </w:tc>
      </w:tr>
      <w:tr w:rsidR="002859D8" w:rsidRPr="0014570A" w:rsidTr="00B05451">
        <w:trPr>
          <w:trHeight w:val="267"/>
        </w:trPr>
        <w:tc>
          <w:tcPr>
            <w:tcW w:w="2695" w:type="dxa"/>
            <w:tcBorders>
              <w:top w:val="nil"/>
              <w:left w:val="nil"/>
              <w:bottom w:val="nil"/>
              <w:right w:val="nil"/>
            </w:tcBorders>
            <w:shd w:val="clear" w:color="auto" w:fill="auto"/>
            <w:vAlign w:val="center"/>
            <w:hideMark/>
          </w:tcPr>
          <w:p w:rsidR="002859D8" w:rsidRPr="0014570A" w:rsidRDefault="002859D8" w:rsidP="00B05451">
            <w:pPr>
              <w:spacing w:after="0" w:line="240" w:lineRule="auto"/>
              <w:rPr>
                <w:rFonts w:ascii="Gill Sans MT" w:eastAsia="Times New Roman" w:hAnsi="Gill Sans MT" w:cs="Times New Roman"/>
                <w:i/>
                <w:iCs/>
                <w:color w:val="000000"/>
                <w:lang w:eastAsia="en-GB"/>
              </w:rPr>
            </w:pPr>
            <w:r w:rsidRPr="0014570A">
              <w:rPr>
                <w:rFonts w:ascii="Gill Sans MT" w:eastAsia="Times New Roman" w:hAnsi="Gill Sans MT" w:cs="Times New Roman"/>
                <w:i/>
                <w:iCs/>
                <w:color w:val="000000"/>
                <w:lang w:eastAsia="en-GB"/>
              </w:rPr>
              <w:t>X</w:t>
            </w:r>
            <w:r w:rsidRPr="0014570A">
              <w:rPr>
                <w:rFonts w:ascii="Gill Sans MT" w:eastAsia="Times New Roman" w:hAnsi="Gill Sans MT" w:cs="Times New Roman"/>
                <w:i/>
                <w:iCs/>
                <w:color w:val="000000"/>
                <w:vertAlign w:val="subscript"/>
                <w:lang w:eastAsia="en-GB"/>
              </w:rPr>
              <w:t>ijt</w:t>
            </w:r>
          </w:p>
        </w:tc>
        <w:tc>
          <w:tcPr>
            <w:tcW w:w="1906" w:type="dxa"/>
            <w:tcBorders>
              <w:top w:val="nil"/>
              <w:left w:val="nil"/>
              <w:bottom w:val="nil"/>
              <w:right w:val="nil"/>
            </w:tcBorders>
            <w:shd w:val="clear" w:color="auto" w:fill="auto"/>
            <w:vAlign w:val="center"/>
            <w:hideMark/>
          </w:tcPr>
          <w:p w:rsidR="002859D8" w:rsidRPr="0014570A" w:rsidRDefault="002859D8" w:rsidP="00B05451">
            <w:pPr>
              <w:spacing w:after="0" w:line="240" w:lineRule="auto"/>
              <w:jc w:val="right"/>
              <w:rPr>
                <w:rFonts w:ascii="Gill Sans MT" w:eastAsia="Times New Roman" w:hAnsi="Gill Sans MT" w:cs="Times New Roman"/>
                <w:color w:val="000000"/>
                <w:lang w:eastAsia="en-GB"/>
              </w:rPr>
            </w:pPr>
            <w:r w:rsidRPr="0014570A">
              <w:rPr>
                <w:rFonts w:ascii="Gill Sans MT" w:eastAsia="Times New Roman" w:hAnsi="Gill Sans MT" w:cs="Times New Roman"/>
                <w:color w:val="000000"/>
                <w:lang w:eastAsia="en-GB"/>
              </w:rPr>
              <w:t>27252</w:t>
            </w:r>
          </w:p>
        </w:tc>
        <w:tc>
          <w:tcPr>
            <w:tcW w:w="1163" w:type="dxa"/>
            <w:tcBorders>
              <w:top w:val="nil"/>
              <w:left w:val="nil"/>
              <w:bottom w:val="nil"/>
              <w:right w:val="nil"/>
            </w:tcBorders>
            <w:shd w:val="clear" w:color="auto" w:fill="auto"/>
            <w:noWrap/>
            <w:vAlign w:val="center"/>
            <w:hideMark/>
          </w:tcPr>
          <w:p w:rsidR="002859D8" w:rsidRPr="0014570A" w:rsidRDefault="002859D8" w:rsidP="00B05451">
            <w:pPr>
              <w:spacing w:after="0" w:line="240" w:lineRule="auto"/>
              <w:jc w:val="right"/>
              <w:rPr>
                <w:rFonts w:ascii="Gill Sans MT" w:eastAsia="Times New Roman" w:hAnsi="Gill Sans MT" w:cs="Times New Roman"/>
                <w:color w:val="000000"/>
                <w:lang w:eastAsia="en-GB"/>
              </w:rPr>
            </w:pPr>
            <w:r w:rsidRPr="0014570A">
              <w:rPr>
                <w:rFonts w:ascii="Gill Sans MT" w:eastAsia="Times New Roman" w:hAnsi="Gill Sans MT" w:cs="Times New Roman"/>
                <w:color w:val="000000"/>
                <w:lang w:eastAsia="en-GB"/>
              </w:rPr>
              <w:t>2205411</w:t>
            </w:r>
          </w:p>
        </w:tc>
        <w:tc>
          <w:tcPr>
            <w:tcW w:w="1236" w:type="dxa"/>
            <w:tcBorders>
              <w:top w:val="nil"/>
              <w:left w:val="nil"/>
              <w:bottom w:val="nil"/>
              <w:right w:val="nil"/>
            </w:tcBorders>
            <w:shd w:val="clear" w:color="auto" w:fill="auto"/>
            <w:noWrap/>
            <w:vAlign w:val="center"/>
            <w:hideMark/>
          </w:tcPr>
          <w:p w:rsidR="002859D8" w:rsidRPr="0014570A" w:rsidRDefault="002859D8" w:rsidP="00B05451">
            <w:pPr>
              <w:spacing w:after="0" w:line="240" w:lineRule="auto"/>
              <w:jc w:val="right"/>
              <w:rPr>
                <w:rFonts w:ascii="Gill Sans MT" w:eastAsia="Times New Roman" w:hAnsi="Gill Sans MT" w:cs="Times New Roman"/>
                <w:color w:val="000000"/>
                <w:lang w:eastAsia="en-GB"/>
              </w:rPr>
            </w:pPr>
            <w:r w:rsidRPr="0014570A">
              <w:rPr>
                <w:rFonts w:ascii="Gill Sans MT" w:eastAsia="Times New Roman" w:hAnsi="Gill Sans MT" w:cs="Times New Roman"/>
                <w:color w:val="000000"/>
                <w:lang w:eastAsia="en-GB"/>
              </w:rPr>
              <w:t>8452232</w:t>
            </w:r>
          </w:p>
        </w:tc>
        <w:tc>
          <w:tcPr>
            <w:tcW w:w="1084" w:type="dxa"/>
            <w:tcBorders>
              <w:top w:val="nil"/>
              <w:left w:val="nil"/>
              <w:bottom w:val="nil"/>
              <w:right w:val="nil"/>
            </w:tcBorders>
            <w:shd w:val="clear" w:color="auto" w:fill="auto"/>
            <w:noWrap/>
            <w:vAlign w:val="center"/>
            <w:hideMark/>
          </w:tcPr>
          <w:p w:rsidR="002859D8" w:rsidRPr="0014570A" w:rsidRDefault="002859D8" w:rsidP="00B05451">
            <w:pPr>
              <w:spacing w:after="0" w:line="240" w:lineRule="auto"/>
              <w:jc w:val="right"/>
              <w:rPr>
                <w:rFonts w:ascii="Gill Sans MT" w:eastAsia="Times New Roman" w:hAnsi="Gill Sans MT" w:cs="Times New Roman"/>
                <w:color w:val="000000"/>
                <w:lang w:eastAsia="en-GB"/>
              </w:rPr>
            </w:pPr>
            <w:r w:rsidRPr="0014570A">
              <w:rPr>
                <w:rFonts w:ascii="Gill Sans MT" w:eastAsia="Times New Roman" w:hAnsi="Gill Sans MT" w:cs="Times New Roman"/>
                <w:color w:val="000000"/>
                <w:lang w:eastAsia="en-GB"/>
              </w:rPr>
              <w:t>.2</w:t>
            </w:r>
          </w:p>
        </w:tc>
        <w:tc>
          <w:tcPr>
            <w:tcW w:w="1322" w:type="dxa"/>
            <w:tcBorders>
              <w:top w:val="nil"/>
              <w:left w:val="nil"/>
              <w:bottom w:val="nil"/>
              <w:right w:val="nil"/>
            </w:tcBorders>
            <w:shd w:val="clear" w:color="auto" w:fill="auto"/>
            <w:noWrap/>
            <w:vAlign w:val="center"/>
            <w:hideMark/>
          </w:tcPr>
          <w:p w:rsidR="002859D8" w:rsidRPr="0014570A" w:rsidRDefault="002859D8" w:rsidP="00B05451">
            <w:pPr>
              <w:spacing w:after="0" w:line="240" w:lineRule="auto"/>
              <w:jc w:val="right"/>
              <w:rPr>
                <w:rFonts w:ascii="Gill Sans MT" w:eastAsia="Times New Roman" w:hAnsi="Gill Sans MT" w:cs="Times New Roman"/>
                <w:color w:val="000000"/>
                <w:lang w:eastAsia="en-GB"/>
              </w:rPr>
            </w:pPr>
            <w:r w:rsidRPr="0014570A">
              <w:rPr>
                <w:rFonts w:ascii="Gill Sans MT" w:eastAsia="Times New Roman" w:hAnsi="Gill Sans MT" w:cs="Times New Roman"/>
                <w:color w:val="000000"/>
                <w:lang w:eastAsia="en-GB"/>
              </w:rPr>
              <w:t>2.30e+08</w:t>
            </w:r>
          </w:p>
        </w:tc>
      </w:tr>
      <w:tr w:rsidR="002859D8" w:rsidRPr="0014570A" w:rsidTr="00B05451">
        <w:trPr>
          <w:trHeight w:val="267"/>
        </w:trPr>
        <w:tc>
          <w:tcPr>
            <w:tcW w:w="2695" w:type="dxa"/>
            <w:tcBorders>
              <w:top w:val="nil"/>
              <w:left w:val="nil"/>
              <w:bottom w:val="nil"/>
              <w:right w:val="nil"/>
            </w:tcBorders>
            <w:shd w:val="clear" w:color="auto" w:fill="auto"/>
            <w:vAlign w:val="center"/>
            <w:hideMark/>
          </w:tcPr>
          <w:p w:rsidR="002859D8" w:rsidRPr="0014570A" w:rsidRDefault="002859D8" w:rsidP="00B05451">
            <w:pPr>
              <w:spacing w:after="0" w:line="240" w:lineRule="auto"/>
              <w:rPr>
                <w:rFonts w:ascii="Gill Sans MT" w:eastAsia="Times New Roman" w:hAnsi="Gill Sans MT" w:cs="Times New Roman"/>
                <w:i/>
                <w:iCs/>
                <w:color w:val="000000"/>
                <w:lang w:eastAsia="en-GB"/>
              </w:rPr>
            </w:pPr>
            <w:r w:rsidRPr="0014570A">
              <w:rPr>
                <w:rFonts w:ascii="Gill Sans MT" w:eastAsia="Times New Roman" w:hAnsi="Gill Sans MT" w:cs="Times New Roman"/>
                <w:i/>
                <w:iCs/>
                <w:color w:val="000000"/>
                <w:lang w:eastAsia="en-GB"/>
              </w:rPr>
              <w:t>M</w:t>
            </w:r>
            <w:r w:rsidRPr="0014570A">
              <w:rPr>
                <w:rFonts w:ascii="Gill Sans MT" w:eastAsia="Times New Roman" w:hAnsi="Gill Sans MT" w:cs="Times New Roman"/>
                <w:i/>
                <w:iCs/>
                <w:color w:val="000000"/>
                <w:vertAlign w:val="subscript"/>
                <w:lang w:eastAsia="en-GB"/>
              </w:rPr>
              <w:t>ijt</w:t>
            </w:r>
          </w:p>
        </w:tc>
        <w:tc>
          <w:tcPr>
            <w:tcW w:w="1906" w:type="dxa"/>
            <w:tcBorders>
              <w:top w:val="nil"/>
              <w:left w:val="nil"/>
              <w:bottom w:val="nil"/>
              <w:right w:val="nil"/>
            </w:tcBorders>
            <w:shd w:val="clear" w:color="auto" w:fill="auto"/>
            <w:vAlign w:val="center"/>
            <w:hideMark/>
          </w:tcPr>
          <w:p w:rsidR="002859D8" w:rsidRPr="0014570A" w:rsidRDefault="002859D8" w:rsidP="00B05451">
            <w:pPr>
              <w:spacing w:after="0" w:line="240" w:lineRule="auto"/>
              <w:jc w:val="right"/>
              <w:rPr>
                <w:rFonts w:ascii="Gill Sans MT" w:eastAsia="Times New Roman" w:hAnsi="Gill Sans MT" w:cs="Times New Roman"/>
                <w:color w:val="000000"/>
                <w:lang w:eastAsia="en-GB"/>
              </w:rPr>
            </w:pPr>
            <w:r w:rsidRPr="0014570A">
              <w:rPr>
                <w:rFonts w:ascii="Gill Sans MT" w:eastAsia="Times New Roman" w:hAnsi="Gill Sans MT" w:cs="Times New Roman"/>
                <w:color w:val="000000"/>
                <w:lang w:eastAsia="en-GB"/>
              </w:rPr>
              <w:t>27287</w:t>
            </w:r>
          </w:p>
        </w:tc>
        <w:tc>
          <w:tcPr>
            <w:tcW w:w="1163" w:type="dxa"/>
            <w:tcBorders>
              <w:top w:val="nil"/>
              <w:left w:val="nil"/>
              <w:bottom w:val="nil"/>
              <w:right w:val="nil"/>
            </w:tcBorders>
            <w:shd w:val="clear" w:color="auto" w:fill="auto"/>
            <w:noWrap/>
            <w:vAlign w:val="center"/>
            <w:hideMark/>
          </w:tcPr>
          <w:p w:rsidR="002859D8" w:rsidRPr="0014570A" w:rsidRDefault="002859D8" w:rsidP="00B05451">
            <w:pPr>
              <w:spacing w:after="0" w:line="240" w:lineRule="auto"/>
              <w:jc w:val="right"/>
              <w:rPr>
                <w:rFonts w:ascii="Gill Sans MT" w:eastAsia="Times New Roman" w:hAnsi="Gill Sans MT" w:cs="Times New Roman"/>
                <w:color w:val="000000"/>
                <w:lang w:eastAsia="en-GB"/>
              </w:rPr>
            </w:pPr>
            <w:r w:rsidRPr="0014570A">
              <w:rPr>
                <w:rFonts w:ascii="Gill Sans MT" w:eastAsia="Times New Roman" w:hAnsi="Gill Sans MT" w:cs="Times New Roman"/>
                <w:color w:val="000000"/>
                <w:lang w:eastAsia="en-GB"/>
              </w:rPr>
              <w:t>4257502</w:t>
            </w:r>
          </w:p>
        </w:tc>
        <w:tc>
          <w:tcPr>
            <w:tcW w:w="1236" w:type="dxa"/>
            <w:tcBorders>
              <w:top w:val="nil"/>
              <w:left w:val="nil"/>
              <w:bottom w:val="nil"/>
              <w:right w:val="nil"/>
            </w:tcBorders>
            <w:shd w:val="clear" w:color="auto" w:fill="auto"/>
            <w:noWrap/>
            <w:vAlign w:val="center"/>
            <w:hideMark/>
          </w:tcPr>
          <w:p w:rsidR="002859D8" w:rsidRPr="0014570A" w:rsidRDefault="002859D8" w:rsidP="00B05451">
            <w:pPr>
              <w:spacing w:after="0" w:line="240" w:lineRule="auto"/>
              <w:jc w:val="right"/>
              <w:rPr>
                <w:rFonts w:ascii="Gill Sans MT" w:eastAsia="Times New Roman" w:hAnsi="Gill Sans MT" w:cs="Times New Roman"/>
                <w:color w:val="000000"/>
                <w:lang w:eastAsia="en-GB"/>
              </w:rPr>
            </w:pPr>
            <w:r w:rsidRPr="0014570A">
              <w:rPr>
                <w:rFonts w:ascii="Gill Sans MT" w:eastAsia="Times New Roman" w:hAnsi="Gill Sans MT" w:cs="Times New Roman"/>
                <w:color w:val="000000"/>
                <w:lang w:eastAsia="en-GB"/>
              </w:rPr>
              <w:t>1.49e+07</w:t>
            </w:r>
          </w:p>
        </w:tc>
        <w:tc>
          <w:tcPr>
            <w:tcW w:w="1084" w:type="dxa"/>
            <w:tcBorders>
              <w:top w:val="nil"/>
              <w:left w:val="nil"/>
              <w:bottom w:val="nil"/>
              <w:right w:val="nil"/>
            </w:tcBorders>
            <w:shd w:val="clear" w:color="auto" w:fill="auto"/>
            <w:noWrap/>
            <w:vAlign w:val="center"/>
            <w:hideMark/>
          </w:tcPr>
          <w:p w:rsidR="002859D8" w:rsidRPr="0014570A" w:rsidRDefault="002859D8" w:rsidP="00B05451">
            <w:pPr>
              <w:spacing w:after="0" w:line="240" w:lineRule="auto"/>
              <w:jc w:val="right"/>
              <w:rPr>
                <w:rFonts w:ascii="Gill Sans MT" w:eastAsia="Times New Roman" w:hAnsi="Gill Sans MT" w:cs="Times New Roman"/>
                <w:color w:val="000000"/>
                <w:lang w:eastAsia="en-GB"/>
              </w:rPr>
            </w:pPr>
            <w:r w:rsidRPr="0014570A">
              <w:rPr>
                <w:rFonts w:ascii="Gill Sans MT" w:eastAsia="Times New Roman" w:hAnsi="Gill Sans MT" w:cs="Times New Roman"/>
                <w:color w:val="000000"/>
                <w:lang w:eastAsia="en-GB"/>
              </w:rPr>
              <w:t>.107</w:t>
            </w:r>
          </w:p>
        </w:tc>
        <w:tc>
          <w:tcPr>
            <w:tcW w:w="1322" w:type="dxa"/>
            <w:tcBorders>
              <w:top w:val="nil"/>
              <w:left w:val="nil"/>
              <w:bottom w:val="nil"/>
              <w:right w:val="nil"/>
            </w:tcBorders>
            <w:shd w:val="clear" w:color="auto" w:fill="auto"/>
            <w:noWrap/>
            <w:vAlign w:val="center"/>
            <w:hideMark/>
          </w:tcPr>
          <w:p w:rsidR="002859D8" w:rsidRPr="0014570A" w:rsidRDefault="002859D8" w:rsidP="00B05451">
            <w:pPr>
              <w:spacing w:after="0" w:line="240" w:lineRule="auto"/>
              <w:jc w:val="right"/>
              <w:rPr>
                <w:rFonts w:ascii="Gill Sans MT" w:eastAsia="Times New Roman" w:hAnsi="Gill Sans MT" w:cs="Times New Roman"/>
                <w:color w:val="000000"/>
                <w:lang w:eastAsia="en-GB"/>
              </w:rPr>
            </w:pPr>
            <w:r w:rsidRPr="0014570A">
              <w:rPr>
                <w:rFonts w:ascii="Gill Sans MT" w:eastAsia="Times New Roman" w:hAnsi="Gill Sans MT" w:cs="Times New Roman"/>
                <w:color w:val="000000"/>
                <w:lang w:eastAsia="en-GB"/>
              </w:rPr>
              <w:t>3.54e+08</w:t>
            </w:r>
          </w:p>
        </w:tc>
      </w:tr>
      <w:tr w:rsidR="002859D8" w:rsidRPr="0014570A" w:rsidTr="00B05451">
        <w:trPr>
          <w:trHeight w:val="267"/>
        </w:trPr>
        <w:tc>
          <w:tcPr>
            <w:tcW w:w="2695" w:type="dxa"/>
            <w:tcBorders>
              <w:top w:val="nil"/>
              <w:left w:val="nil"/>
              <w:bottom w:val="nil"/>
              <w:right w:val="nil"/>
            </w:tcBorders>
            <w:shd w:val="clear" w:color="auto" w:fill="auto"/>
            <w:vAlign w:val="center"/>
            <w:hideMark/>
          </w:tcPr>
          <w:p w:rsidR="002859D8" w:rsidRPr="0014570A" w:rsidRDefault="002859D8" w:rsidP="00B05451">
            <w:pPr>
              <w:spacing w:after="0" w:line="240" w:lineRule="auto"/>
              <w:rPr>
                <w:rFonts w:ascii="Gill Sans MT" w:eastAsia="Times New Roman" w:hAnsi="Gill Sans MT" w:cs="Times New Roman"/>
                <w:i/>
                <w:iCs/>
                <w:color w:val="000000"/>
                <w:lang w:eastAsia="en-GB"/>
              </w:rPr>
            </w:pPr>
            <w:r w:rsidRPr="0014570A">
              <w:rPr>
                <w:rFonts w:ascii="Gill Sans MT" w:eastAsia="Times New Roman" w:hAnsi="Gill Sans MT" w:cs="Times New Roman"/>
                <w:i/>
                <w:iCs/>
                <w:color w:val="000000"/>
                <w:lang w:eastAsia="en-GB"/>
              </w:rPr>
              <w:t>PTA</w:t>
            </w:r>
            <w:r w:rsidRPr="0014570A">
              <w:rPr>
                <w:rFonts w:ascii="Gill Sans MT" w:eastAsia="Times New Roman" w:hAnsi="Gill Sans MT" w:cs="Times New Roman"/>
                <w:i/>
                <w:iCs/>
                <w:color w:val="000000"/>
                <w:vertAlign w:val="subscript"/>
                <w:lang w:eastAsia="en-GB"/>
              </w:rPr>
              <w:t>ijt</w:t>
            </w:r>
          </w:p>
        </w:tc>
        <w:tc>
          <w:tcPr>
            <w:tcW w:w="1906" w:type="dxa"/>
            <w:tcBorders>
              <w:top w:val="nil"/>
              <w:left w:val="nil"/>
              <w:bottom w:val="nil"/>
              <w:right w:val="nil"/>
            </w:tcBorders>
            <w:shd w:val="clear" w:color="auto" w:fill="auto"/>
            <w:vAlign w:val="center"/>
            <w:hideMark/>
          </w:tcPr>
          <w:p w:rsidR="002859D8" w:rsidRPr="0014570A" w:rsidRDefault="002859D8" w:rsidP="00B05451">
            <w:pPr>
              <w:spacing w:after="0" w:line="240" w:lineRule="auto"/>
              <w:jc w:val="right"/>
              <w:rPr>
                <w:rFonts w:ascii="Gill Sans MT" w:eastAsia="Times New Roman" w:hAnsi="Gill Sans MT" w:cs="Times New Roman"/>
                <w:color w:val="000000"/>
                <w:lang w:eastAsia="en-GB"/>
              </w:rPr>
            </w:pPr>
            <w:r w:rsidRPr="0014570A">
              <w:rPr>
                <w:rFonts w:ascii="Gill Sans MT" w:eastAsia="Times New Roman" w:hAnsi="Gill Sans MT" w:cs="Times New Roman"/>
                <w:color w:val="000000"/>
                <w:lang w:eastAsia="en-GB"/>
              </w:rPr>
              <w:t>34782</w:t>
            </w:r>
          </w:p>
        </w:tc>
        <w:tc>
          <w:tcPr>
            <w:tcW w:w="1163" w:type="dxa"/>
            <w:tcBorders>
              <w:top w:val="nil"/>
              <w:left w:val="nil"/>
              <w:bottom w:val="nil"/>
              <w:right w:val="nil"/>
            </w:tcBorders>
            <w:shd w:val="clear" w:color="auto" w:fill="auto"/>
            <w:noWrap/>
            <w:vAlign w:val="center"/>
            <w:hideMark/>
          </w:tcPr>
          <w:p w:rsidR="002859D8" w:rsidRPr="0014570A" w:rsidRDefault="002859D8" w:rsidP="00B05451">
            <w:pPr>
              <w:spacing w:after="0" w:line="240" w:lineRule="auto"/>
              <w:jc w:val="right"/>
              <w:rPr>
                <w:rFonts w:ascii="Gill Sans MT" w:eastAsia="Times New Roman" w:hAnsi="Gill Sans MT" w:cs="Times New Roman"/>
                <w:color w:val="000000"/>
                <w:lang w:eastAsia="en-GB"/>
              </w:rPr>
            </w:pPr>
            <w:r w:rsidRPr="0014570A">
              <w:rPr>
                <w:rFonts w:ascii="Gill Sans MT" w:eastAsia="Times New Roman" w:hAnsi="Gill Sans MT" w:cs="Times New Roman"/>
                <w:color w:val="000000"/>
                <w:lang w:eastAsia="en-GB"/>
              </w:rPr>
              <w:t>0.368</w:t>
            </w:r>
          </w:p>
        </w:tc>
        <w:tc>
          <w:tcPr>
            <w:tcW w:w="1236" w:type="dxa"/>
            <w:tcBorders>
              <w:top w:val="nil"/>
              <w:left w:val="nil"/>
              <w:bottom w:val="nil"/>
              <w:right w:val="nil"/>
            </w:tcBorders>
            <w:shd w:val="clear" w:color="auto" w:fill="auto"/>
            <w:noWrap/>
            <w:vAlign w:val="center"/>
            <w:hideMark/>
          </w:tcPr>
          <w:p w:rsidR="002859D8" w:rsidRPr="0014570A" w:rsidRDefault="002859D8" w:rsidP="00B05451">
            <w:pPr>
              <w:spacing w:after="0" w:line="240" w:lineRule="auto"/>
              <w:jc w:val="right"/>
              <w:rPr>
                <w:rFonts w:ascii="Gill Sans MT" w:eastAsia="Times New Roman" w:hAnsi="Gill Sans MT" w:cs="Times New Roman"/>
                <w:color w:val="000000"/>
                <w:lang w:eastAsia="en-GB"/>
              </w:rPr>
            </w:pPr>
            <w:r w:rsidRPr="0014570A">
              <w:rPr>
                <w:rFonts w:ascii="Gill Sans MT" w:eastAsia="Times New Roman" w:hAnsi="Gill Sans MT" w:cs="Times New Roman"/>
                <w:color w:val="000000"/>
                <w:lang w:eastAsia="en-GB"/>
              </w:rPr>
              <w:t>0.482</w:t>
            </w:r>
          </w:p>
        </w:tc>
        <w:tc>
          <w:tcPr>
            <w:tcW w:w="1084" w:type="dxa"/>
            <w:tcBorders>
              <w:top w:val="nil"/>
              <w:left w:val="nil"/>
              <w:bottom w:val="nil"/>
              <w:right w:val="nil"/>
            </w:tcBorders>
            <w:shd w:val="clear" w:color="auto" w:fill="auto"/>
            <w:noWrap/>
            <w:vAlign w:val="center"/>
            <w:hideMark/>
          </w:tcPr>
          <w:p w:rsidR="002859D8" w:rsidRPr="0014570A" w:rsidRDefault="002859D8" w:rsidP="00B05451">
            <w:pPr>
              <w:spacing w:after="0" w:line="240" w:lineRule="auto"/>
              <w:jc w:val="right"/>
              <w:rPr>
                <w:rFonts w:ascii="Gill Sans MT" w:eastAsia="Times New Roman" w:hAnsi="Gill Sans MT" w:cs="Times New Roman"/>
                <w:color w:val="000000"/>
                <w:lang w:eastAsia="en-GB"/>
              </w:rPr>
            </w:pPr>
            <w:r w:rsidRPr="0014570A">
              <w:rPr>
                <w:rFonts w:ascii="Gill Sans MT" w:eastAsia="Times New Roman" w:hAnsi="Gill Sans MT" w:cs="Times New Roman"/>
                <w:color w:val="000000"/>
                <w:lang w:eastAsia="en-GB"/>
              </w:rPr>
              <w:t>0</w:t>
            </w:r>
          </w:p>
        </w:tc>
        <w:tc>
          <w:tcPr>
            <w:tcW w:w="1322" w:type="dxa"/>
            <w:tcBorders>
              <w:top w:val="nil"/>
              <w:left w:val="nil"/>
              <w:bottom w:val="nil"/>
              <w:right w:val="nil"/>
            </w:tcBorders>
            <w:shd w:val="clear" w:color="auto" w:fill="auto"/>
            <w:noWrap/>
            <w:vAlign w:val="center"/>
            <w:hideMark/>
          </w:tcPr>
          <w:p w:rsidR="002859D8" w:rsidRPr="0014570A" w:rsidRDefault="002859D8" w:rsidP="00B05451">
            <w:pPr>
              <w:spacing w:after="0" w:line="240" w:lineRule="auto"/>
              <w:jc w:val="right"/>
              <w:rPr>
                <w:rFonts w:ascii="Gill Sans MT" w:eastAsia="Times New Roman" w:hAnsi="Gill Sans MT" w:cs="Times New Roman"/>
                <w:color w:val="000000"/>
                <w:lang w:eastAsia="en-GB"/>
              </w:rPr>
            </w:pPr>
            <w:r w:rsidRPr="0014570A">
              <w:rPr>
                <w:rFonts w:ascii="Gill Sans MT" w:eastAsia="Times New Roman" w:hAnsi="Gill Sans MT" w:cs="Times New Roman"/>
                <w:color w:val="000000"/>
                <w:lang w:eastAsia="en-GB"/>
              </w:rPr>
              <w:t>1</w:t>
            </w:r>
          </w:p>
        </w:tc>
      </w:tr>
      <w:tr w:rsidR="002859D8" w:rsidRPr="0014570A" w:rsidTr="00B05451">
        <w:trPr>
          <w:trHeight w:val="267"/>
        </w:trPr>
        <w:tc>
          <w:tcPr>
            <w:tcW w:w="2695" w:type="dxa"/>
            <w:tcBorders>
              <w:top w:val="nil"/>
              <w:left w:val="nil"/>
              <w:bottom w:val="nil"/>
              <w:right w:val="nil"/>
            </w:tcBorders>
            <w:shd w:val="clear" w:color="auto" w:fill="auto"/>
            <w:vAlign w:val="center"/>
            <w:hideMark/>
          </w:tcPr>
          <w:p w:rsidR="002859D8" w:rsidRPr="0014570A" w:rsidRDefault="002859D8" w:rsidP="00B05451">
            <w:pPr>
              <w:spacing w:after="0" w:line="240" w:lineRule="auto"/>
              <w:rPr>
                <w:rFonts w:ascii="Gill Sans MT" w:eastAsia="Times New Roman" w:hAnsi="Gill Sans MT" w:cs="Times New Roman"/>
                <w:i/>
                <w:iCs/>
                <w:color w:val="000000"/>
                <w:lang w:eastAsia="en-GB"/>
              </w:rPr>
            </w:pPr>
            <w:r w:rsidRPr="0014570A">
              <w:rPr>
                <w:rFonts w:ascii="Gill Sans MT" w:eastAsia="Times New Roman" w:hAnsi="Gill Sans MT" w:cs="Times New Roman"/>
                <w:i/>
                <w:iCs/>
                <w:color w:val="000000"/>
                <w:lang w:eastAsia="en-GB"/>
              </w:rPr>
              <w:t>Inv_Pro</w:t>
            </w:r>
            <w:r w:rsidRPr="0014570A">
              <w:rPr>
                <w:rFonts w:ascii="Gill Sans MT" w:eastAsia="Times New Roman" w:hAnsi="Gill Sans MT" w:cs="Times New Roman"/>
                <w:i/>
                <w:iCs/>
                <w:color w:val="000000"/>
                <w:vertAlign w:val="subscript"/>
                <w:lang w:eastAsia="en-GB"/>
              </w:rPr>
              <w:t>ijt</w:t>
            </w:r>
          </w:p>
        </w:tc>
        <w:tc>
          <w:tcPr>
            <w:tcW w:w="1906" w:type="dxa"/>
            <w:tcBorders>
              <w:top w:val="nil"/>
              <w:left w:val="nil"/>
              <w:bottom w:val="nil"/>
              <w:right w:val="nil"/>
            </w:tcBorders>
            <w:shd w:val="clear" w:color="auto" w:fill="auto"/>
            <w:vAlign w:val="center"/>
            <w:hideMark/>
          </w:tcPr>
          <w:p w:rsidR="002859D8" w:rsidRPr="0014570A" w:rsidRDefault="002859D8" w:rsidP="00B05451">
            <w:pPr>
              <w:spacing w:after="0" w:line="240" w:lineRule="auto"/>
              <w:jc w:val="right"/>
              <w:rPr>
                <w:rFonts w:ascii="Gill Sans MT" w:eastAsia="Times New Roman" w:hAnsi="Gill Sans MT" w:cs="Times New Roman"/>
                <w:color w:val="000000"/>
                <w:lang w:eastAsia="en-GB"/>
              </w:rPr>
            </w:pPr>
            <w:r w:rsidRPr="0014570A">
              <w:rPr>
                <w:rFonts w:ascii="Gill Sans MT" w:eastAsia="Times New Roman" w:hAnsi="Gill Sans MT" w:cs="Times New Roman"/>
                <w:color w:val="000000"/>
                <w:lang w:eastAsia="en-GB"/>
              </w:rPr>
              <w:t>34782</w:t>
            </w:r>
          </w:p>
        </w:tc>
        <w:tc>
          <w:tcPr>
            <w:tcW w:w="1163" w:type="dxa"/>
            <w:tcBorders>
              <w:top w:val="nil"/>
              <w:left w:val="nil"/>
              <w:bottom w:val="nil"/>
              <w:right w:val="nil"/>
            </w:tcBorders>
            <w:shd w:val="clear" w:color="auto" w:fill="auto"/>
            <w:noWrap/>
            <w:vAlign w:val="center"/>
            <w:hideMark/>
          </w:tcPr>
          <w:p w:rsidR="002859D8" w:rsidRPr="0014570A" w:rsidRDefault="002859D8" w:rsidP="00B05451">
            <w:pPr>
              <w:spacing w:after="0" w:line="240" w:lineRule="auto"/>
              <w:jc w:val="right"/>
              <w:rPr>
                <w:rFonts w:ascii="Gill Sans MT" w:eastAsia="Times New Roman" w:hAnsi="Gill Sans MT" w:cs="Times New Roman"/>
                <w:color w:val="000000"/>
                <w:lang w:eastAsia="en-GB"/>
              </w:rPr>
            </w:pPr>
            <w:r w:rsidRPr="0014570A">
              <w:rPr>
                <w:rFonts w:ascii="Gill Sans MT" w:eastAsia="Times New Roman" w:hAnsi="Gill Sans MT" w:cs="Times New Roman"/>
                <w:color w:val="000000"/>
                <w:lang w:eastAsia="en-GB"/>
              </w:rPr>
              <w:t>3.012</w:t>
            </w:r>
          </w:p>
        </w:tc>
        <w:tc>
          <w:tcPr>
            <w:tcW w:w="1236" w:type="dxa"/>
            <w:tcBorders>
              <w:top w:val="nil"/>
              <w:left w:val="nil"/>
              <w:bottom w:val="nil"/>
              <w:right w:val="nil"/>
            </w:tcBorders>
            <w:shd w:val="clear" w:color="auto" w:fill="auto"/>
            <w:noWrap/>
            <w:vAlign w:val="center"/>
            <w:hideMark/>
          </w:tcPr>
          <w:p w:rsidR="002859D8" w:rsidRPr="0014570A" w:rsidRDefault="002859D8" w:rsidP="00B05451">
            <w:pPr>
              <w:spacing w:after="0" w:line="240" w:lineRule="auto"/>
              <w:jc w:val="right"/>
              <w:rPr>
                <w:rFonts w:ascii="Gill Sans MT" w:eastAsia="Times New Roman" w:hAnsi="Gill Sans MT" w:cs="Times New Roman"/>
                <w:color w:val="000000"/>
                <w:lang w:eastAsia="en-GB"/>
              </w:rPr>
            </w:pPr>
            <w:r w:rsidRPr="0014570A">
              <w:rPr>
                <w:rFonts w:ascii="Gill Sans MT" w:eastAsia="Times New Roman" w:hAnsi="Gill Sans MT" w:cs="Times New Roman"/>
                <w:color w:val="000000"/>
                <w:lang w:eastAsia="en-GB"/>
              </w:rPr>
              <w:t>4.234</w:t>
            </w:r>
          </w:p>
        </w:tc>
        <w:tc>
          <w:tcPr>
            <w:tcW w:w="1084" w:type="dxa"/>
            <w:tcBorders>
              <w:top w:val="nil"/>
              <w:left w:val="nil"/>
              <w:bottom w:val="nil"/>
              <w:right w:val="nil"/>
            </w:tcBorders>
            <w:shd w:val="clear" w:color="auto" w:fill="auto"/>
            <w:noWrap/>
            <w:vAlign w:val="center"/>
            <w:hideMark/>
          </w:tcPr>
          <w:p w:rsidR="002859D8" w:rsidRPr="0014570A" w:rsidRDefault="002859D8" w:rsidP="00B05451">
            <w:pPr>
              <w:spacing w:after="0" w:line="240" w:lineRule="auto"/>
              <w:jc w:val="right"/>
              <w:rPr>
                <w:rFonts w:ascii="Gill Sans MT" w:eastAsia="Times New Roman" w:hAnsi="Gill Sans MT" w:cs="Times New Roman"/>
                <w:color w:val="000000"/>
                <w:lang w:eastAsia="en-GB"/>
              </w:rPr>
            </w:pPr>
            <w:r w:rsidRPr="0014570A">
              <w:rPr>
                <w:rFonts w:ascii="Gill Sans MT" w:eastAsia="Times New Roman" w:hAnsi="Gill Sans MT" w:cs="Times New Roman"/>
                <w:color w:val="000000"/>
                <w:lang w:eastAsia="en-GB"/>
              </w:rPr>
              <w:t>0</w:t>
            </w:r>
          </w:p>
        </w:tc>
        <w:tc>
          <w:tcPr>
            <w:tcW w:w="1322" w:type="dxa"/>
            <w:tcBorders>
              <w:top w:val="nil"/>
              <w:left w:val="nil"/>
              <w:bottom w:val="nil"/>
              <w:right w:val="nil"/>
            </w:tcBorders>
            <w:shd w:val="clear" w:color="auto" w:fill="auto"/>
            <w:noWrap/>
            <w:vAlign w:val="center"/>
            <w:hideMark/>
          </w:tcPr>
          <w:p w:rsidR="002859D8" w:rsidRPr="0014570A" w:rsidRDefault="002859D8" w:rsidP="00B05451">
            <w:pPr>
              <w:spacing w:after="0" w:line="240" w:lineRule="auto"/>
              <w:jc w:val="right"/>
              <w:rPr>
                <w:rFonts w:ascii="Gill Sans MT" w:eastAsia="Times New Roman" w:hAnsi="Gill Sans MT" w:cs="Times New Roman"/>
                <w:color w:val="000000"/>
                <w:lang w:eastAsia="en-GB"/>
              </w:rPr>
            </w:pPr>
            <w:r w:rsidRPr="0014570A">
              <w:rPr>
                <w:rFonts w:ascii="Gill Sans MT" w:eastAsia="Times New Roman" w:hAnsi="Gill Sans MT" w:cs="Times New Roman"/>
                <w:color w:val="000000"/>
                <w:lang w:eastAsia="en-GB"/>
              </w:rPr>
              <w:t>12</w:t>
            </w:r>
          </w:p>
        </w:tc>
      </w:tr>
      <w:tr w:rsidR="002859D8" w:rsidRPr="0014570A" w:rsidTr="00B05451">
        <w:trPr>
          <w:trHeight w:val="277"/>
        </w:trPr>
        <w:tc>
          <w:tcPr>
            <w:tcW w:w="2695" w:type="dxa"/>
            <w:tcBorders>
              <w:top w:val="nil"/>
              <w:left w:val="nil"/>
              <w:bottom w:val="single" w:sz="12" w:space="0" w:color="AA273E"/>
              <w:right w:val="nil"/>
            </w:tcBorders>
            <w:shd w:val="clear" w:color="auto" w:fill="auto"/>
            <w:noWrap/>
            <w:vAlign w:val="center"/>
            <w:hideMark/>
          </w:tcPr>
          <w:p w:rsidR="002859D8" w:rsidRPr="0014570A" w:rsidRDefault="002859D8" w:rsidP="00B05451">
            <w:pPr>
              <w:spacing w:after="0" w:line="240" w:lineRule="auto"/>
              <w:rPr>
                <w:rFonts w:ascii="Gill Sans MT" w:eastAsia="Times New Roman" w:hAnsi="Gill Sans MT" w:cs="Times New Roman"/>
                <w:i/>
                <w:iCs/>
                <w:color w:val="000000"/>
                <w:lang w:eastAsia="en-GB"/>
              </w:rPr>
            </w:pPr>
            <w:r w:rsidRPr="0014570A">
              <w:rPr>
                <w:rFonts w:ascii="Gill Sans MT" w:eastAsia="Times New Roman" w:hAnsi="Gill Sans MT" w:cs="Times New Roman"/>
                <w:i/>
                <w:iCs/>
                <w:color w:val="000000"/>
                <w:lang w:eastAsia="en-GB"/>
              </w:rPr>
              <w:t>Polity</w:t>
            </w:r>
            <w:r w:rsidRPr="0014570A">
              <w:rPr>
                <w:rFonts w:ascii="Gill Sans MT" w:eastAsia="Times New Roman" w:hAnsi="Gill Sans MT" w:cs="Times New Roman"/>
                <w:i/>
                <w:iCs/>
                <w:color w:val="000000"/>
                <w:vertAlign w:val="subscript"/>
                <w:lang w:eastAsia="en-GB"/>
              </w:rPr>
              <w:t>ijt</w:t>
            </w:r>
          </w:p>
        </w:tc>
        <w:tc>
          <w:tcPr>
            <w:tcW w:w="1906" w:type="dxa"/>
            <w:tcBorders>
              <w:top w:val="nil"/>
              <w:left w:val="nil"/>
              <w:bottom w:val="single" w:sz="12" w:space="0" w:color="AA273E"/>
              <w:right w:val="nil"/>
            </w:tcBorders>
            <w:shd w:val="clear" w:color="auto" w:fill="auto"/>
            <w:noWrap/>
            <w:vAlign w:val="center"/>
            <w:hideMark/>
          </w:tcPr>
          <w:p w:rsidR="002859D8" w:rsidRPr="0014570A" w:rsidRDefault="002859D8" w:rsidP="00B05451">
            <w:pPr>
              <w:spacing w:after="0" w:line="240" w:lineRule="auto"/>
              <w:jc w:val="right"/>
              <w:rPr>
                <w:rFonts w:ascii="Gill Sans MT" w:eastAsia="Times New Roman" w:hAnsi="Gill Sans MT" w:cs="Times New Roman"/>
                <w:color w:val="000000"/>
                <w:lang w:eastAsia="en-GB"/>
              </w:rPr>
            </w:pPr>
            <w:r w:rsidRPr="0014570A">
              <w:rPr>
                <w:rFonts w:ascii="Gill Sans MT" w:eastAsia="Times New Roman" w:hAnsi="Gill Sans MT" w:cs="Times New Roman"/>
                <w:color w:val="000000"/>
                <w:lang w:eastAsia="en-GB"/>
              </w:rPr>
              <w:t>32670</w:t>
            </w:r>
          </w:p>
        </w:tc>
        <w:tc>
          <w:tcPr>
            <w:tcW w:w="1163" w:type="dxa"/>
            <w:tcBorders>
              <w:top w:val="nil"/>
              <w:left w:val="nil"/>
              <w:bottom w:val="nil"/>
              <w:right w:val="nil"/>
            </w:tcBorders>
            <w:shd w:val="clear" w:color="auto" w:fill="auto"/>
            <w:noWrap/>
            <w:vAlign w:val="center"/>
            <w:hideMark/>
          </w:tcPr>
          <w:p w:rsidR="002859D8" w:rsidRPr="0014570A" w:rsidRDefault="002859D8" w:rsidP="00B05451">
            <w:pPr>
              <w:spacing w:after="0" w:line="240" w:lineRule="auto"/>
              <w:jc w:val="right"/>
              <w:rPr>
                <w:rFonts w:ascii="Gill Sans MT" w:eastAsia="Times New Roman" w:hAnsi="Gill Sans MT" w:cs="Times New Roman"/>
                <w:color w:val="000000"/>
                <w:lang w:eastAsia="en-GB"/>
              </w:rPr>
            </w:pPr>
            <w:r w:rsidRPr="0014570A">
              <w:rPr>
                <w:rFonts w:ascii="Gill Sans MT" w:eastAsia="Times New Roman" w:hAnsi="Gill Sans MT" w:cs="Times New Roman"/>
                <w:color w:val="000000"/>
                <w:lang w:eastAsia="en-GB"/>
              </w:rPr>
              <w:t>9.125</w:t>
            </w:r>
          </w:p>
        </w:tc>
        <w:tc>
          <w:tcPr>
            <w:tcW w:w="1236" w:type="dxa"/>
            <w:tcBorders>
              <w:top w:val="nil"/>
              <w:left w:val="nil"/>
              <w:bottom w:val="nil"/>
              <w:right w:val="nil"/>
            </w:tcBorders>
            <w:shd w:val="clear" w:color="auto" w:fill="auto"/>
            <w:noWrap/>
            <w:vAlign w:val="center"/>
            <w:hideMark/>
          </w:tcPr>
          <w:p w:rsidR="002859D8" w:rsidRPr="0014570A" w:rsidRDefault="002859D8" w:rsidP="00B05451">
            <w:pPr>
              <w:spacing w:after="0" w:line="240" w:lineRule="auto"/>
              <w:jc w:val="right"/>
              <w:rPr>
                <w:rFonts w:ascii="Gill Sans MT" w:eastAsia="Times New Roman" w:hAnsi="Gill Sans MT" w:cs="Times New Roman"/>
                <w:color w:val="000000"/>
                <w:lang w:eastAsia="en-GB"/>
              </w:rPr>
            </w:pPr>
            <w:r w:rsidRPr="0014570A">
              <w:rPr>
                <w:rFonts w:ascii="Gill Sans MT" w:eastAsia="Times New Roman" w:hAnsi="Gill Sans MT" w:cs="Times New Roman"/>
                <w:color w:val="000000"/>
                <w:lang w:eastAsia="en-GB"/>
              </w:rPr>
              <w:t>2.368</w:t>
            </w:r>
          </w:p>
        </w:tc>
        <w:tc>
          <w:tcPr>
            <w:tcW w:w="1084" w:type="dxa"/>
            <w:tcBorders>
              <w:top w:val="nil"/>
              <w:left w:val="nil"/>
              <w:bottom w:val="nil"/>
              <w:right w:val="nil"/>
            </w:tcBorders>
            <w:shd w:val="clear" w:color="auto" w:fill="auto"/>
            <w:noWrap/>
            <w:vAlign w:val="center"/>
            <w:hideMark/>
          </w:tcPr>
          <w:p w:rsidR="002859D8" w:rsidRPr="0014570A" w:rsidRDefault="002859D8" w:rsidP="00B05451">
            <w:pPr>
              <w:spacing w:after="0" w:line="240" w:lineRule="auto"/>
              <w:jc w:val="right"/>
              <w:rPr>
                <w:rFonts w:ascii="Gill Sans MT" w:eastAsia="Times New Roman" w:hAnsi="Gill Sans MT" w:cs="Times New Roman"/>
                <w:color w:val="000000"/>
                <w:lang w:eastAsia="en-GB"/>
              </w:rPr>
            </w:pPr>
            <w:r w:rsidRPr="0014570A">
              <w:rPr>
                <w:rFonts w:ascii="Gill Sans MT" w:eastAsia="Times New Roman" w:hAnsi="Gill Sans MT" w:cs="Times New Roman"/>
                <w:color w:val="000000"/>
                <w:lang w:eastAsia="en-GB"/>
              </w:rPr>
              <w:t>-7</w:t>
            </w:r>
          </w:p>
        </w:tc>
        <w:tc>
          <w:tcPr>
            <w:tcW w:w="1322" w:type="dxa"/>
            <w:tcBorders>
              <w:top w:val="nil"/>
              <w:left w:val="nil"/>
              <w:bottom w:val="nil"/>
              <w:right w:val="nil"/>
            </w:tcBorders>
            <w:shd w:val="clear" w:color="auto" w:fill="auto"/>
            <w:noWrap/>
            <w:vAlign w:val="center"/>
            <w:hideMark/>
          </w:tcPr>
          <w:p w:rsidR="002859D8" w:rsidRPr="0014570A" w:rsidRDefault="002859D8" w:rsidP="00B05451">
            <w:pPr>
              <w:spacing w:after="0" w:line="240" w:lineRule="auto"/>
              <w:jc w:val="right"/>
              <w:rPr>
                <w:rFonts w:ascii="Gill Sans MT" w:eastAsia="Times New Roman" w:hAnsi="Gill Sans MT" w:cs="Times New Roman"/>
                <w:color w:val="000000"/>
                <w:lang w:eastAsia="en-GB"/>
              </w:rPr>
            </w:pPr>
            <w:r w:rsidRPr="0014570A">
              <w:rPr>
                <w:rFonts w:ascii="Gill Sans MT" w:eastAsia="Times New Roman" w:hAnsi="Gill Sans MT" w:cs="Times New Roman"/>
                <w:color w:val="000000"/>
                <w:lang w:eastAsia="en-GB"/>
              </w:rPr>
              <w:t>10</w:t>
            </w:r>
          </w:p>
        </w:tc>
      </w:tr>
      <w:tr w:rsidR="002859D8" w:rsidRPr="0014570A" w:rsidTr="00B05451">
        <w:trPr>
          <w:trHeight w:val="246"/>
        </w:trPr>
        <w:tc>
          <w:tcPr>
            <w:tcW w:w="9407" w:type="dxa"/>
            <w:gridSpan w:val="6"/>
            <w:tcBorders>
              <w:top w:val="single" w:sz="18" w:space="0" w:color="C00000"/>
              <w:left w:val="nil"/>
              <w:bottom w:val="nil"/>
              <w:right w:val="nil"/>
            </w:tcBorders>
            <w:shd w:val="clear" w:color="auto" w:fill="auto"/>
            <w:noWrap/>
            <w:vAlign w:val="center"/>
            <w:hideMark/>
          </w:tcPr>
          <w:p w:rsidR="002859D8" w:rsidRPr="0014570A" w:rsidRDefault="002859D8" w:rsidP="00B05451">
            <w:pPr>
              <w:spacing w:after="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Appendix 2</w:t>
            </w:r>
            <w:r w:rsidRPr="0014570A">
              <w:rPr>
                <w:rFonts w:ascii="Gill Sans MT" w:eastAsia="Times New Roman" w:hAnsi="Gill Sans MT" w:cs="Times New Roman"/>
                <w:color w:val="000000"/>
                <w:lang w:eastAsia="en-GB"/>
              </w:rPr>
              <w:t xml:space="preserve">: </w:t>
            </w:r>
            <w:r>
              <w:rPr>
                <w:rFonts w:ascii="Gill Sans MT" w:eastAsia="Times New Roman" w:hAnsi="Gill Sans MT" w:cs="Times New Roman"/>
                <w:color w:val="000000"/>
                <w:lang w:eastAsia="en-GB"/>
              </w:rPr>
              <w:t>summary statistics are presented for each variable considered.</w:t>
            </w:r>
          </w:p>
        </w:tc>
      </w:tr>
    </w:tbl>
    <w:p w:rsidR="002859D8" w:rsidRDefault="002859D8" w:rsidP="0028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New"/>
          <w:b/>
        </w:rPr>
      </w:pPr>
    </w:p>
    <w:p w:rsidR="002859D8" w:rsidRDefault="002859D8" w:rsidP="0028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New"/>
          <w:b/>
        </w:rPr>
      </w:pPr>
    </w:p>
    <w:p w:rsidR="008425C8" w:rsidRDefault="008425C8" w:rsidP="0028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New"/>
          <w:b/>
        </w:rPr>
      </w:pPr>
    </w:p>
    <w:p w:rsidR="002859D8" w:rsidRDefault="002859D8" w:rsidP="0028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New"/>
          <w:b/>
        </w:rPr>
      </w:pPr>
    </w:p>
    <w:tbl>
      <w:tblPr>
        <w:tblW w:w="9367" w:type="dxa"/>
        <w:tblInd w:w="93" w:type="dxa"/>
        <w:tblLook w:val="04A0" w:firstRow="1" w:lastRow="0" w:firstColumn="1" w:lastColumn="0" w:noHBand="0" w:noVBand="1"/>
      </w:tblPr>
      <w:tblGrid>
        <w:gridCol w:w="539"/>
        <w:gridCol w:w="2287"/>
        <w:gridCol w:w="1089"/>
        <w:gridCol w:w="1089"/>
        <w:gridCol w:w="1089"/>
        <w:gridCol w:w="1089"/>
        <w:gridCol w:w="1089"/>
        <w:gridCol w:w="1096"/>
      </w:tblGrid>
      <w:tr w:rsidR="002859D8" w:rsidRPr="008A3522" w:rsidTr="00B05451">
        <w:trPr>
          <w:trHeight w:val="657"/>
        </w:trPr>
        <w:tc>
          <w:tcPr>
            <w:tcW w:w="9367" w:type="dxa"/>
            <w:gridSpan w:val="8"/>
            <w:tcBorders>
              <w:top w:val="nil"/>
              <w:left w:val="nil"/>
              <w:bottom w:val="nil"/>
              <w:right w:val="nil"/>
            </w:tcBorders>
            <w:shd w:val="clear" w:color="000000" w:fill="F2DCDB"/>
            <w:vAlign w:val="center"/>
            <w:hideMark/>
          </w:tcPr>
          <w:p w:rsidR="002859D8" w:rsidRPr="008A3522" w:rsidRDefault="002859D8" w:rsidP="00B05451">
            <w:pPr>
              <w:spacing w:after="0" w:line="240" w:lineRule="auto"/>
              <w:rPr>
                <w:rFonts w:ascii="Gill Sans MT" w:eastAsia="Times New Roman" w:hAnsi="Gill Sans MT" w:cs="Times New Roman"/>
                <w:color w:val="953735"/>
                <w:sz w:val="28"/>
                <w:szCs w:val="28"/>
                <w:lang w:eastAsia="en-GB"/>
              </w:rPr>
            </w:pPr>
            <w:r w:rsidRPr="008A3522">
              <w:rPr>
                <w:rFonts w:ascii="Gill Sans MT" w:eastAsia="Times New Roman" w:hAnsi="Gill Sans MT" w:cs="Times New Roman"/>
                <w:color w:val="953735"/>
                <w:sz w:val="28"/>
                <w:szCs w:val="28"/>
                <w:lang w:eastAsia="en-GB"/>
              </w:rPr>
              <w:lastRenderedPageBreak/>
              <w:t>Appendix 3. PPML Estimation for the Effect of BITs on FDI in OECD Countries, when differentiating between no ISDS and ISDS without pre-consent</w:t>
            </w:r>
          </w:p>
        </w:tc>
      </w:tr>
      <w:tr w:rsidR="002859D8" w:rsidRPr="008A3522" w:rsidTr="00B05451">
        <w:trPr>
          <w:trHeight w:val="189"/>
        </w:trPr>
        <w:tc>
          <w:tcPr>
            <w:tcW w:w="2826" w:type="dxa"/>
            <w:gridSpan w:val="2"/>
            <w:vMerge w:val="restart"/>
            <w:tcBorders>
              <w:top w:val="nil"/>
              <w:left w:val="nil"/>
              <w:bottom w:val="single" w:sz="12" w:space="0" w:color="AA273E"/>
              <w:right w:val="nil"/>
            </w:tcBorders>
            <w:shd w:val="clear" w:color="auto" w:fill="auto"/>
            <w:noWrap/>
            <w:vAlign w:val="center"/>
            <w:hideMark/>
          </w:tcPr>
          <w:p w:rsidR="002859D8" w:rsidRPr="008A3522" w:rsidRDefault="002859D8" w:rsidP="00B05451">
            <w:pPr>
              <w:spacing w:after="0" w:line="240" w:lineRule="auto"/>
              <w:jc w:val="center"/>
              <w:rPr>
                <w:rFonts w:ascii="Gill Sans MT" w:eastAsia="Times New Roman" w:hAnsi="Gill Sans MT" w:cs="Times New Roman"/>
                <w:color w:val="000000"/>
                <w:lang w:eastAsia="en-GB"/>
              </w:rPr>
            </w:pPr>
            <w:r w:rsidRPr="008A3522">
              <w:rPr>
                <w:rFonts w:ascii="Gill Sans MT" w:eastAsia="Times New Roman" w:hAnsi="Gill Sans MT" w:cs="Times New Roman"/>
                <w:color w:val="000000"/>
                <w:lang w:eastAsia="en-GB"/>
              </w:rPr>
              <w:t>Independent Variables:</w:t>
            </w:r>
          </w:p>
        </w:tc>
        <w:tc>
          <w:tcPr>
            <w:tcW w:w="6541" w:type="dxa"/>
            <w:gridSpan w:val="6"/>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Gill Sans MT" w:eastAsia="Times New Roman" w:hAnsi="Gill Sans MT" w:cs="Times New Roman"/>
                <w:color w:val="000000"/>
                <w:lang w:eastAsia="en-GB"/>
              </w:rPr>
            </w:pPr>
            <w:r w:rsidRPr="008A3522">
              <w:rPr>
                <w:rFonts w:ascii="Gill Sans MT" w:eastAsia="Times New Roman" w:hAnsi="Gill Sans MT" w:cs="Times New Roman"/>
                <w:color w:val="000000"/>
                <w:lang w:eastAsia="en-GB"/>
              </w:rPr>
              <w:t>Dependent Variable: FDI</w:t>
            </w:r>
            <w:r w:rsidRPr="008A3522">
              <w:rPr>
                <w:rFonts w:ascii="Gill Sans MT" w:eastAsia="Times New Roman" w:hAnsi="Gill Sans MT" w:cs="Times New Roman"/>
                <w:color w:val="000000"/>
                <w:vertAlign w:val="subscript"/>
                <w:lang w:eastAsia="en-GB"/>
              </w:rPr>
              <w:t>ijt</w:t>
            </w:r>
          </w:p>
        </w:tc>
      </w:tr>
      <w:tr w:rsidR="002859D8" w:rsidRPr="008A3522" w:rsidTr="00B05451">
        <w:trPr>
          <w:trHeight w:val="182"/>
        </w:trPr>
        <w:tc>
          <w:tcPr>
            <w:tcW w:w="2826" w:type="dxa"/>
            <w:gridSpan w:val="2"/>
            <w:vMerge/>
            <w:tcBorders>
              <w:top w:val="nil"/>
              <w:left w:val="nil"/>
              <w:bottom w:val="single" w:sz="8" w:space="0" w:color="AA273E"/>
              <w:right w:val="nil"/>
            </w:tcBorders>
            <w:vAlign w:val="center"/>
            <w:hideMark/>
          </w:tcPr>
          <w:p w:rsidR="002859D8" w:rsidRPr="008A3522" w:rsidRDefault="002859D8" w:rsidP="00B05451">
            <w:pPr>
              <w:spacing w:after="0" w:line="240" w:lineRule="auto"/>
              <w:rPr>
                <w:rFonts w:ascii="Gill Sans MT" w:eastAsia="Times New Roman" w:hAnsi="Gill Sans MT" w:cs="Times New Roman"/>
                <w:color w:val="000000"/>
                <w:lang w:eastAsia="en-GB"/>
              </w:rPr>
            </w:pPr>
          </w:p>
        </w:tc>
        <w:tc>
          <w:tcPr>
            <w:tcW w:w="1089" w:type="dxa"/>
            <w:tcBorders>
              <w:top w:val="nil"/>
              <w:left w:val="nil"/>
              <w:bottom w:val="single" w:sz="8" w:space="0" w:color="AA273E"/>
              <w:right w:val="nil"/>
            </w:tcBorders>
            <w:shd w:val="clear" w:color="auto" w:fill="auto"/>
            <w:noWrap/>
            <w:vAlign w:val="center"/>
            <w:hideMark/>
          </w:tcPr>
          <w:p w:rsidR="002859D8" w:rsidRPr="008A3522" w:rsidRDefault="002859D8" w:rsidP="00B05451">
            <w:pPr>
              <w:spacing w:after="0" w:line="240" w:lineRule="auto"/>
              <w:jc w:val="center"/>
              <w:rPr>
                <w:rFonts w:ascii="Gill Sans MT" w:eastAsia="Times New Roman" w:hAnsi="Gill Sans MT" w:cs="Times New Roman"/>
                <w:color w:val="000000"/>
                <w:lang w:eastAsia="en-GB"/>
              </w:rPr>
            </w:pPr>
            <w:r w:rsidRPr="008A3522">
              <w:rPr>
                <w:rFonts w:ascii="Gill Sans MT" w:eastAsia="Times New Roman" w:hAnsi="Gill Sans MT" w:cs="Times New Roman"/>
                <w:color w:val="000000"/>
                <w:lang w:eastAsia="en-GB"/>
              </w:rPr>
              <w:t>(1)</w:t>
            </w:r>
          </w:p>
        </w:tc>
        <w:tc>
          <w:tcPr>
            <w:tcW w:w="1089" w:type="dxa"/>
            <w:tcBorders>
              <w:top w:val="nil"/>
              <w:left w:val="nil"/>
              <w:bottom w:val="single" w:sz="8" w:space="0" w:color="AA273E"/>
              <w:right w:val="nil"/>
            </w:tcBorders>
            <w:shd w:val="clear" w:color="auto" w:fill="auto"/>
            <w:noWrap/>
            <w:vAlign w:val="center"/>
            <w:hideMark/>
          </w:tcPr>
          <w:p w:rsidR="002859D8" w:rsidRPr="008A3522" w:rsidRDefault="002859D8" w:rsidP="00B05451">
            <w:pPr>
              <w:spacing w:after="0" w:line="240" w:lineRule="auto"/>
              <w:jc w:val="center"/>
              <w:rPr>
                <w:rFonts w:ascii="Gill Sans MT" w:eastAsia="Times New Roman" w:hAnsi="Gill Sans MT" w:cs="Times New Roman"/>
                <w:color w:val="000000"/>
                <w:lang w:eastAsia="en-GB"/>
              </w:rPr>
            </w:pPr>
            <w:r w:rsidRPr="008A3522">
              <w:rPr>
                <w:rFonts w:ascii="Gill Sans MT" w:eastAsia="Times New Roman" w:hAnsi="Gill Sans MT" w:cs="Times New Roman"/>
                <w:color w:val="000000"/>
                <w:lang w:eastAsia="en-GB"/>
              </w:rPr>
              <w:t>(2)</w:t>
            </w:r>
          </w:p>
        </w:tc>
        <w:tc>
          <w:tcPr>
            <w:tcW w:w="1089" w:type="dxa"/>
            <w:tcBorders>
              <w:top w:val="nil"/>
              <w:left w:val="nil"/>
              <w:bottom w:val="single" w:sz="8" w:space="0" w:color="AA273E"/>
              <w:right w:val="nil"/>
            </w:tcBorders>
            <w:shd w:val="clear" w:color="auto" w:fill="auto"/>
            <w:noWrap/>
            <w:vAlign w:val="center"/>
            <w:hideMark/>
          </w:tcPr>
          <w:p w:rsidR="002859D8" w:rsidRPr="008A3522" w:rsidRDefault="002859D8" w:rsidP="00B05451">
            <w:pPr>
              <w:spacing w:after="0" w:line="240" w:lineRule="auto"/>
              <w:jc w:val="center"/>
              <w:rPr>
                <w:rFonts w:ascii="Gill Sans MT" w:eastAsia="Times New Roman" w:hAnsi="Gill Sans MT" w:cs="Times New Roman"/>
                <w:color w:val="000000"/>
                <w:lang w:eastAsia="en-GB"/>
              </w:rPr>
            </w:pPr>
            <w:r w:rsidRPr="008A3522">
              <w:rPr>
                <w:rFonts w:ascii="Gill Sans MT" w:eastAsia="Times New Roman" w:hAnsi="Gill Sans MT" w:cs="Times New Roman"/>
                <w:color w:val="000000"/>
                <w:lang w:eastAsia="en-GB"/>
              </w:rPr>
              <w:t>(3)</w:t>
            </w:r>
          </w:p>
        </w:tc>
        <w:tc>
          <w:tcPr>
            <w:tcW w:w="1089" w:type="dxa"/>
            <w:tcBorders>
              <w:top w:val="nil"/>
              <w:left w:val="nil"/>
              <w:bottom w:val="single" w:sz="8" w:space="0" w:color="AA273E"/>
              <w:right w:val="nil"/>
            </w:tcBorders>
            <w:shd w:val="clear" w:color="auto" w:fill="auto"/>
            <w:noWrap/>
            <w:vAlign w:val="center"/>
            <w:hideMark/>
          </w:tcPr>
          <w:p w:rsidR="002859D8" w:rsidRPr="008A3522" w:rsidRDefault="002859D8" w:rsidP="00B05451">
            <w:pPr>
              <w:spacing w:after="0" w:line="240" w:lineRule="auto"/>
              <w:jc w:val="center"/>
              <w:rPr>
                <w:rFonts w:ascii="Gill Sans MT" w:eastAsia="Times New Roman" w:hAnsi="Gill Sans MT" w:cs="Times New Roman"/>
                <w:color w:val="000000"/>
                <w:lang w:eastAsia="en-GB"/>
              </w:rPr>
            </w:pPr>
            <w:r w:rsidRPr="008A3522">
              <w:rPr>
                <w:rFonts w:ascii="Gill Sans MT" w:eastAsia="Times New Roman" w:hAnsi="Gill Sans MT" w:cs="Times New Roman"/>
                <w:color w:val="000000"/>
                <w:lang w:eastAsia="en-GB"/>
              </w:rPr>
              <w:t>(4)</w:t>
            </w:r>
          </w:p>
        </w:tc>
        <w:tc>
          <w:tcPr>
            <w:tcW w:w="1089" w:type="dxa"/>
            <w:tcBorders>
              <w:top w:val="nil"/>
              <w:left w:val="nil"/>
              <w:bottom w:val="single" w:sz="8" w:space="0" w:color="AA273E"/>
              <w:right w:val="nil"/>
            </w:tcBorders>
            <w:shd w:val="clear" w:color="auto" w:fill="auto"/>
            <w:noWrap/>
            <w:vAlign w:val="center"/>
            <w:hideMark/>
          </w:tcPr>
          <w:p w:rsidR="002859D8" w:rsidRPr="008A3522" w:rsidRDefault="002859D8" w:rsidP="00B05451">
            <w:pPr>
              <w:spacing w:after="0" w:line="240" w:lineRule="auto"/>
              <w:jc w:val="center"/>
              <w:rPr>
                <w:rFonts w:ascii="Gill Sans MT" w:eastAsia="Times New Roman" w:hAnsi="Gill Sans MT" w:cs="Times New Roman"/>
                <w:color w:val="000000"/>
                <w:lang w:eastAsia="en-GB"/>
              </w:rPr>
            </w:pPr>
            <w:r w:rsidRPr="008A3522">
              <w:rPr>
                <w:rFonts w:ascii="Gill Sans MT" w:eastAsia="Times New Roman" w:hAnsi="Gill Sans MT" w:cs="Times New Roman"/>
                <w:color w:val="000000"/>
                <w:lang w:eastAsia="en-GB"/>
              </w:rPr>
              <w:t>(5)</w:t>
            </w:r>
          </w:p>
        </w:tc>
        <w:tc>
          <w:tcPr>
            <w:tcW w:w="1094" w:type="dxa"/>
            <w:tcBorders>
              <w:top w:val="nil"/>
              <w:left w:val="nil"/>
              <w:bottom w:val="single" w:sz="8" w:space="0" w:color="AA273E"/>
              <w:right w:val="nil"/>
            </w:tcBorders>
            <w:shd w:val="clear" w:color="auto" w:fill="auto"/>
            <w:noWrap/>
            <w:vAlign w:val="center"/>
            <w:hideMark/>
          </w:tcPr>
          <w:p w:rsidR="002859D8" w:rsidRPr="008A3522" w:rsidRDefault="002859D8" w:rsidP="00B05451">
            <w:pPr>
              <w:spacing w:after="0" w:line="240" w:lineRule="auto"/>
              <w:jc w:val="center"/>
              <w:rPr>
                <w:rFonts w:ascii="Gill Sans MT" w:eastAsia="Times New Roman" w:hAnsi="Gill Sans MT" w:cs="Times New Roman"/>
                <w:color w:val="000000"/>
                <w:lang w:eastAsia="en-GB"/>
              </w:rPr>
            </w:pPr>
            <w:r w:rsidRPr="008A3522">
              <w:rPr>
                <w:rFonts w:ascii="Gill Sans MT" w:eastAsia="Times New Roman" w:hAnsi="Gill Sans MT" w:cs="Times New Roman"/>
                <w:color w:val="000000"/>
                <w:lang w:eastAsia="en-GB"/>
              </w:rPr>
              <w:t>(6)</w:t>
            </w:r>
          </w:p>
        </w:tc>
      </w:tr>
      <w:tr w:rsidR="002859D8" w:rsidRPr="008A3522" w:rsidTr="00B05451">
        <w:trPr>
          <w:trHeight w:val="246"/>
        </w:trPr>
        <w:tc>
          <w:tcPr>
            <w:tcW w:w="2826" w:type="dxa"/>
            <w:gridSpan w:val="2"/>
            <w:vMerge w:val="restart"/>
            <w:tcBorders>
              <w:top w:val="single" w:sz="8" w:space="0" w:color="AA273E"/>
              <w:left w:val="nil"/>
              <w:bottom w:val="nil"/>
              <w:right w:val="nil"/>
            </w:tcBorders>
            <w:shd w:val="clear" w:color="auto" w:fill="auto"/>
            <w:noWrap/>
            <w:vAlign w:val="center"/>
            <w:hideMark/>
          </w:tcPr>
          <w:p w:rsidR="002859D8" w:rsidRPr="008A3522" w:rsidRDefault="002859D8" w:rsidP="00B05451">
            <w:pPr>
              <w:spacing w:after="0" w:line="240" w:lineRule="auto"/>
              <w:rPr>
                <w:rFonts w:ascii="Gill Sans MT" w:eastAsia="Times New Roman" w:hAnsi="Gill Sans MT" w:cs="Times New Roman"/>
                <w:i/>
                <w:iCs/>
                <w:color w:val="000000"/>
                <w:lang w:eastAsia="en-GB"/>
              </w:rPr>
            </w:pPr>
            <w:r w:rsidRPr="008A3522">
              <w:rPr>
                <w:rFonts w:ascii="Gill Sans MT" w:eastAsia="Times New Roman" w:hAnsi="Gill Sans MT" w:cs="Times New Roman"/>
                <w:i/>
                <w:iCs/>
                <w:color w:val="000000"/>
                <w:lang w:eastAsia="en-GB"/>
              </w:rPr>
              <w:t>BIT</w:t>
            </w:r>
            <w:r w:rsidRPr="008A3522">
              <w:rPr>
                <w:rFonts w:ascii="Gill Sans MT" w:eastAsia="Times New Roman" w:hAnsi="Gill Sans MT" w:cs="Times New Roman"/>
                <w:i/>
                <w:iCs/>
                <w:color w:val="000000"/>
                <w:vertAlign w:val="subscript"/>
                <w:lang w:eastAsia="en-GB"/>
              </w:rPr>
              <w:t>ijt</w:t>
            </w:r>
          </w:p>
        </w:tc>
        <w:tc>
          <w:tcPr>
            <w:tcW w:w="1089" w:type="dxa"/>
            <w:tcBorders>
              <w:top w:val="single" w:sz="8" w:space="0" w:color="AA273E"/>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-2.444***</w:t>
            </w:r>
          </w:p>
        </w:tc>
        <w:tc>
          <w:tcPr>
            <w:tcW w:w="1089" w:type="dxa"/>
            <w:tcBorders>
              <w:top w:val="single" w:sz="8" w:space="0" w:color="AA273E"/>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-3.529**</w:t>
            </w:r>
          </w:p>
        </w:tc>
        <w:tc>
          <w:tcPr>
            <w:tcW w:w="1089" w:type="dxa"/>
            <w:tcBorders>
              <w:top w:val="single" w:sz="8" w:space="0" w:color="AA273E"/>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5.006***</w:t>
            </w:r>
          </w:p>
        </w:tc>
        <w:tc>
          <w:tcPr>
            <w:tcW w:w="1089" w:type="dxa"/>
            <w:tcBorders>
              <w:top w:val="single" w:sz="8" w:space="0" w:color="AA273E"/>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5.036***</w:t>
            </w:r>
          </w:p>
        </w:tc>
        <w:tc>
          <w:tcPr>
            <w:tcW w:w="1089" w:type="dxa"/>
            <w:tcBorders>
              <w:top w:val="single" w:sz="8" w:space="0" w:color="AA273E"/>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-2.279</w:t>
            </w:r>
          </w:p>
        </w:tc>
        <w:tc>
          <w:tcPr>
            <w:tcW w:w="1094" w:type="dxa"/>
            <w:tcBorders>
              <w:top w:val="single" w:sz="8" w:space="0" w:color="AA273E"/>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-2.289</w:t>
            </w:r>
          </w:p>
        </w:tc>
      </w:tr>
      <w:tr w:rsidR="002859D8" w:rsidRPr="008A3522" w:rsidTr="00B05451">
        <w:trPr>
          <w:trHeight w:val="174"/>
        </w:trPr>
        <w:tc>
          <w:tcPr>
            <w:tcW w:w="2826" w:type="dxa"/>
            <w:gridSpan w:val="2"/>
            <w:vMerge/>
            <w:tcBorders>
              <w:top w:val="single" w:sz="12" w:space="0" w:color="AA273E"/>
              <w:left w:val="nil"/>
              <w:bottom w:val="nil"/>
              <w:right w:val="nil"/>
            </w:tcBorders>
            <w:vAlign w:val="center"/>
            <w:hideMark/>
          </w:tcPr>
          <w:p w:rsidR="002859D8" w:rsidRPr="008A3522" w:rsidRDefault="002859D8" w:rsidP="00B05451">
            <w:pPr>
              <w:spacing w:after="0" w:line="240" w:lineRule="auto"/>
              <w:rPr>
                <w:rFonts w:ascii="Gill Sans MT" w:eastAsia="Times New Roman" w:hAnsi="Gill Sans MT" w:cs="Times New Roman"/>
                <w:i/>
                <w:iCs/>
                <w:color w:val="000000"/>
                <w:lang w:eastAsia="en-GB"/>
              </w:rPr>
            </w:pP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(0.662)</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(1.786)</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(0.674)</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(0.672)</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(1.477)</w:t>
            </w:r>
          </w:p>
        </w:tc>
        <w:tc>
          <w:tcPr>
            <w:tcW w:w="1094"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(1.489)</w:t>
            </w:r>
          </w:p>
        </w:tc>
      </w:tr>
      <w:tr w:rsidR="002859D8" w:rsidRPr="008A3522" w:rsidTr="00B05451">
        <w:trPr>
          <w:trHeight w:val="174"/>
        </w:trPr>
        <w:tc>
          <w:tcPr>
            <w:tcW w:w="2826" w:type="dxa"/>
            <w:gridSpan w:val="2"/>
            <w:vMerge w:val="restart"/>
            <w:tcBorders>
              <w:top w:val="nil"/>
              <w:left w:val="nil"/>
              <w:bottom w:val="nil"/>
              <w:right w:val="nil"/>
            </w:tcBorders>
            <w:shd w:val="clear" w:color="auto" w:fill="auto"/>
            <w:noWrap/>
            <w:vAlign w:val="center"/>
            <w:hideMark/>
          </w:tcPr>
          <w:p w:rsidR="002859D8" w:rsidRPr="008A3522" w:rsidRDefault="002859D8" w:rsidP="00B05451">
            <w:pPr>
              <w:spacing w:after="0" w:line="240" w:lineRule="auto"/>
              <w:rPr>
                <w:rFonts w:ascii="Gill Sans MT" w:eastAsia="Times New Roman" w:hAnsi="Gill Sans MT" w:cs="Times New Roman"/>
                <w:i/>
                <w:iCs/>
                <w:color w:val="000000"/>
                <w:lang w:eastAsia="en-GB"/>
              </w:rPr>
            </w:pPr>
            <w:r w:rsidRPr="008A3522">
              <w:rPr>
                <w:rFonts w:ascii="Gill Sans MT" w:eastAsia="Times New Roman" w:hAnsi="Gill Sans MT" w:cs="Times New Roman"/>
                <w:i/>
                <w:iCs/>
                <w:color w:val="000000"/>
                <w:lang w:eastAsia="en-GB"/>
              </w:rPr>
              <w:t>ISDS</w:t>
            </w:r>
            <w:r w:rsidRPr="008A3522">
              <w:rPr>
                <w:rFonts w:ascii="Gill Sans MT" w:eastAsia="Times New Roman" w:hAnsi="Gill Sans MT" w:cs="Times New Roman"/>
                <w:i/>
                <w:iCs/>
                <w:color w:val="000000"/>
                <w:vertAlign w:val="subscript"/>
                <w:lang w:eastAsia="en-GB"/>
              </w:rPr>
              <w:t>ijt</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5.407***</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6.551***</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-1.968*</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-1.936*</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5.441***</w:t>
            </w:r>
          </w:p>
        </w:tc>
        <w:tc>
          <w:tcPr>
            <w:tcW w:w="1094"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5.708**</w:t>
            </w:r>
          </w:p>
        </w:tc>
      </w:tr>
      <w:tr w:rsidR="002859D8" w:rsidRPr="008A3522" w:rsidTr="00B05451">
        <w:trPr>
          <w:trHeight w:val="174"/>
        </w:trPr>
        <w:tc>
          <w:tcPr>
            <w:tcW w:w="2826" w:type="dxa"/>
            <w:gridSpan w:val="2"/>
            <w:vMerge/>
            <w:tcBorders>
              <w:top w:val="nil"/>
              <w:left w:val="nil"/>
              <w:bottom w:val="nil"/>
              <w:right w:val="nil"/>
            </w:tcBorders>
            <w:vAlign w:val="center"/>
            <w:hideMark/>
          </w:tcPr>
          <w:p w:rsidR="002859D8" w:rsidRPr="008A3522" w:rsidRDefault="002859D8" w:rsidP="00B05451">
            <w:pPr>
              <w:spacing w:after="0" w:line="240" w:lineRule="auto"/>
              <w:rPr>
                <w:rFonts w:ascii="Gill Sans MT" w:eastAsia="Times New Roman" w:hAnsi="Gill Sans MT" w:cs="Times New Roman"/>
                <w:i/>
                <w:iCs/>
                <w:color w:val="000000"/>
                <w:lang w:eastAsia="en-GB"/>
              </w:rPr>
            </w:pP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(0.914)</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(1.970)</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(1.108)</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(1.098)</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(1.792)</w:t>
            </w:r>
          </w:p>
        </w:tc>
        <w:tc>
          <w:tcPr>
            <w:tcW w:w="1094"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(2.236)</w:t>
            </w:r>
          </w:p>
        </w:tc>
      </w:tr>
      <w:tr w:rsidR="002859D8" w:rsidRPr="008A3522" w:rsidTr="00B05451">
        <w:trPr>
          <w:trHeight w:val="174"/>
        </w:trPr>
        <w:tc>
          <w:tcPr>
            <w:tcW w:w="2826" w:type="dxa"/>
            <w:gridSpan w:val="2"/>
            <w:vMerge w:val="restart"/>
            <w:tcBorders>
              <w:top w:val="nil"/>
              <w:left w:val="nil"/>
              <w:bottom w:val="nil"/>
              <w:right w:val="nil"/>
            </w:tcBorders>
            <w:shd w:val="clear" w:color="auto" w:fill="auto"/>
            <w:noWrap/>
            <w:vAlign w:val="center"/>
            <w:hideMark/>
          </w:tcPr>
          <w:p w:rsidR="002859D8" w:rsidRPr="008A3522" w:rsidRDefault="002859D8" w:rsidP="00B05451">
            <w:pPr>
              <w:spacing w:after="0" w:line="240" w:lineRule="auto"/>
              <w:rPr>
                <w:rFonts w:ascii="Gill Sans MT" w:eastAsia="Times New Roman" w:hAnsi="Gill Sans MT" w:cs="Times New Roman"/>
                <w:i/>
                <w:iCs/>
                <w:color w:val="000000"/>
                <w:lang w:eastAsia="en-GB"/>
              </w:rPr>
            </w:pPr>
            <w:r w:rsidRPr="008A3522">
              <w:rPr>
                <w:rFonts w:ascii="Gill Sans MT" w:eastAsia="Times New Roman" w:hAnsi="Gill Sans MT" w:cs="Times New Roman"/>
                <w:i/>
                <w:iCs/>
                <w:color w:val="000000"/>
                <w:lang w:eastAsia="en-GB"/>
              </w:rPr>
              <w:t>ISDS_Pre</w:t>
            </w:r>
            <w:r w:rsidRPr="008A3522">
              <w:rPr>
                <w:rFonts w:ascii="Gill Sans MT" w:eastAsia="Times New Roman" w:hAnsi="Gill Sans MT" w:cs="Times New Roman"/>
                <w:i/>
                <w:iCs/>
                <w:color w:val="000000"/>
                <w:vertAlign w:val="subscript"/>
                <w:lang w:eastAsia="en-GB"/>
              </w:rPr>
              <w:t>ijt</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-2.778***</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-2.744***</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-2.815***</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-2.764***</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-2.654***</w:t>
            </w:r>
          </w:p>
        </w:tc>
        <w:tc>
          <w:tcPr>
            <w:tcW w:w="1094"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1.055</w:t>
            </w:r>
          </w:p>
        </w:tc>
      </w:tr>
      <w:tr w:rsidR="002859D8" w:rsidRPr="008A3522" w:rsidTr="00B05451">
        <w:trPr>
          <w:trHeight w:val="174"/>
        </w:trPr>
        <w:tc>
          <w:tcPr>
            <w:tcW w:w="2826" w:type="dxa"/>
            <w:gridSpan w:val="2"/>
            <w:vMerge/>
            <w:tcBorders>
              <w:top w:val="nil"/>
              <w:left w:val="nil"/>
              <w:bottom w:val="nil"/>
              <w:right w:val="nil"/>
            </w:tcBorders>
            <w:vAlign w:val="center"/>
            <w:hideMark/>
          </w:tcPr>
          <w:p w:rsidR="002859D8" w:rsidRPr="008A3522" w:rsidRDefault="002859D8" w:rsidP="00B05451">
            <w:pPr>
              <w:spacing w:after="0" w:line="240" w:lineRule="auto"/>
              <w:rPr>
                <w:rFonts w:ascii="Gill Sans MT" w:eastAsia="Times New Roman" w:hAnsi="Gill Sans MT" w:cs="Times New Roman"/>
                <w:i/>
                <w:iCs/>
                <w:color w:val="000000"/>
                <w:lang w:eastAsia="en-GB"/>
              </w:rPr>
            </w:pP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(0.665)</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(0.729)</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(0.806)</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(0.811)</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(0.809)</w:t>
            </w:r>
          </w:p>
        </w:tc>
        <w:tc>
          <w:tcPr>
            <w:tcW w:w="1094"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(1.503)</w:t>
            </w:r>
          </w:p>
        </w:tc>
      </w:tr>
      <w:tr w:rsidR="002859D8" w:rsidRPr="008A3522" w:rsidTr="00B05451">
        <w:trPr>
          <w:trHeight w:val="174"/>
        </w:trPr>
        <w:tc>
          <w:tcPr>
            <w:tcW w:w="2826" w:type="dxa"/>
            <w:gridSpan w:val="2"/>
            <w:vMerge w:val="restart"/>
            <w:tcBorders>
              <w:top w:val="nil"/>
              <w:left w:val="nil"/>
              <w:bottom w:val="nil"/>
              <w:right w:val="nil"/>
            </w:tcBorders>
            <w:shd w:val="clear" w:color="auto" w:fill="auto"/>
            <w:noWrap/>
            <w:vAlign w:val="center"/>
            <w:hideMark/>
          </w:tcPr>
          <w:p w:rsidR="002859D8" w:rsidRPr="008A3522" w:rsidRDefault="002859D8" w:rsidP="00B05451">
            <w:pPr>
              <w:spacing w:after="0" w:line="240" w:lineRule="auto"/>
              <w:rPr>
                <w:rFonts w:ascii="Gill Sans MT" w:eastAsia="Times New Roman" w:hAnsi="Gill Sans MT" w:cs="Times New Roman"/>
                <w:i/>
                <w:iCs/>
                <w:color w:val="000000"/>
                <w:lang w:eastAsia="en-GB"/>
              </w:rPr>
            </w:pPr>
            <w:r w:rsidRPr="008A3522">
              <w:rPr>
                <w:rFonts w:ascii="Gill Sans MT" w:eastAsia="Times New Roman" w:hAnsi="Gill Sans MT" w:cs="Times New Roman"/>
                <w:i/>
                <w:iCs/>
                <w:color w:val="000000"/>
                <w:lang w:eastAsia="en-GB"/>
              </w:rPr>
              <w:t>ISDS_Unre</w:t>
            </w:r>
            <w:r w:rsidRPr="008A3522">
              <w:rPr>
                <w:rFonts w:ascii="Gill Sans MT" w:eastAsia="Times New Roman" w:hAnsi="Gill Sans MT" w:cs="Times New Roman"/>
                <w:i/>
                <w:iCs/>
                <w:color w:val="000000"/>
                <w:vertAlign w:val="subscript"/>
                <w:lang w:eastAsia="en-GB"/>
              </w:rPr>
              <w:t>ijt</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-0.559</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-0.562</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-0.567</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-0.623</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-0.728*</w:t>
            </w:r>
          </w:p>
        </w:tc>
        <w:tc>
          <w:tcPr>
            <w:tcW w:w="1094"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-2.911*</w:t>
            </w:r>
          </w:p>
        </w:tc>
      </w:tr>
      <w:tr w:rsidR="002859D8" w:rsidRPr="008A3522" w:rsidTr="00B05451">
        <w:trPr>
          <w:trHeight w:val="174"/>
        </w:trPr>
        <w:tc>
          <w:tcPr>
            <w:tcW w:w="2826" w:type="dxa"/>
            <w:gridSpan w:val="2"/>
            <w:vMerge/>
            <w:tcBorders>
              <w:top w:val="nil"/>
              <w:left w:val="nil"/>
              <w:bottom w:val="nil"/>
              <w:right w:val="nil"/>
            </w:tcBorders>
            <w:vAlign w:val="center"/>
            <w:hideMark/>
          </w:tcPr>
          <w:p w:rsidR="002859D8" w:rsidRPr="008A3522" w:rsidRDefault="002859D8" w:rsidP="00B05451">
            <w:pPr>
              <w:spacing w:after="0" w:line="240" w:lineRule="auto"/>
              <w:rPr>
                <w:rFonts w:ascii="Gill Sans MT" w:eastAsia="Times New Roman" w:hAnsi="Gill Sans MT" w:cs="Times New Roman"/>
                <w:i/>
                <w:iCs/>
                <w:color w:val="000000"/>
                <w:lang w:eastAsia="en-GB"/>
              </w:rPr>
            </w:pP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(0.387)</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(0.378)</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(0.418)</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(0.415)</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(0.393)</w:t>
            </w:r>
          </w:p>
        </w:tc>
        <w:tc>
          <w:tcPr>
            <w:tcW w:w="1094"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(1.666)</w:t>
            </w:r>
          </w:p>
        </w:tc>
      </w:tr>
      <w:tr w:rsidR="002859D8" w:rsidRPr="008A3522" w:rsidTr="00B05451">
        <w:trPr>
          <w:trHeight w:val="174"/>
        </w:trPr>
        <w:tc>
          <w:tcPr>
            <w:tcW w:w="2826" w:type="dxa"/>
            <w:gridSpan w:val="2"/>
            <w:vMerge w:val="restart"/>
            <w:tcBorders>
              <w:top w:val="nil"/>
              <w:left w:val="nil"/>
              <w:bottom w:val="nil"/>
              <w:right w:val="nil"/>
            </w:tcBorders>
            <w:shd w:val="clear" w:color="auto" w:fill="auto"/>
            <w:noWrap/>
            <w:vAlign w:val="center"/>
            <w:hideMark/>
          </w:tcPr>
          <w:p w:rsidR="002859D8" w:rsidRPr="008A3522" w:rsidRDefault="002859D8" w:rsidP="00B05451">
            <w:pPr>
              <w:spacing w:after="0" w:line="240" w:lineRule="auto"/>
              <w:rPr>
                <w:rFonts w:ascii="Gill Sans MT" w:eastAsia="Times New Roman" w:hAnsi="Gill Sans MT" w:cs="Times New Roman"/>
                <w:i/>
                <w:iCs/>
                <w:color w:val="000000"/>
                <w:lang w:eastAsia="en-GB"/>
              </w:rPr>
            </w:pPr>
            <w:r w:rsidRPr="008A3522">
              <w:rPr>
                <w:rFonts w:ascii="Gill Sans MT" w:eastAsia="Times New Roman" w:hAnsi="Gill Sans MT" w:cs="Times New Roman"/>
                <w:i/>
                <w:iCs/>
                <w:color w:val="000000"/>
                <w:lang w:eastAsia="en-GB"/>
              </w:rPr>
              <w:t>ISDS_Bin</w:t>
            </w:r>
            <w:r w:rsidRPr="008A3522">
              <w:rPr>
                <w:rFonts w:ascii="Gill Sans MT" w:eastAsia="Times New Roman" w:hAnsi="Gill Sans MT" w:cs="Times New Roman"/>
                <w:i/>
                <w:iCs/>
                <w:color w:val="000000"/>
                <w:vertAlign w:val="subscript"/>
                <w:lang w:eastAsia="en-GB"/>
              </w:rPr>
              <w:t>ijt</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-0.461</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-0.477</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-0.552*</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-0.605**</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-0.653***</w:t>
            </w:r>
          </w:p>
        </w:tc>
        <w:tc>
          <w:tcPr>
            <w:tcW w:w="1094"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-7.543***</w:t>
            </w:r>
          </w:p>
        </w:tc>
      </w:tr>
      <w:tr w:rsidR="002859D8" w:rsidRPr="008A3522" w:rsidTr="00B05451">
        <w:trPr>
          <w:trHeight w:val="174"/>
        </w:trPr>
        <w:tc>
          <w:tcPr>
            <w:tcW w:w="2826" w:type="dxa"/>
            <w:gridSpan w:val="2"/>
            <w:vMerge/>
            <w:tcBorders>
              <w:top w:val="nil"/>
              <w:left w:val="nil"/>
              <w:bottom w:val="nil"/>
              <w:right w:val="nil"/>
            </w:tcBorders>
            <w:vAlign w:val="center"/>
            <w:hideMark/>
          </w:tcPr>
          <w:p w:rsidR="002859D8" w:rsidRPr="008A3522" w:rsidRDefault="002859D8" w:rsidP="00B05451">
            <w:pPr>
              <w:spacing w:after="0" w:line="240" w:lineRule="auto"/>
              <w:rPr>
                <w:rFonts w:ascii="Gill Sans MT" w:eastAsia="Times New Roman" w:hAnsi="Gill Sans MT" w:cs="Times New Roman"/>
                <w:i/>
                <w:iCs/>
                <w:color w:val="000000"/>
                <w:lang w:eastAsia="en-GB"/>
              </w:rPr>
            </w:pP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(0.346)</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(0.321)</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(0.301)</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(0.296)</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(0.25)</w:t>
            </w:r>
          </w:p>
        </w:tc>
        <w:tc>
          <w:tcPr>
            <w:tcW w:w="1094"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(1.453)</w:t>
            </w:r>
          </w:p>
        </w:tc>
      </w:tr>
      <w:tr w:rsidR="002859D8" w:rsidRPr="008A3522" w:rsidTr="00B05451">
        <w:trPr>
          <w:trHeight w:val="174"/>
        </w:trPr>
        <w:tc>
          <w:tcPr>
            <w:tcW w:w="2826" w:type="dxa"/>
            <w:gridSpan w:val="2"/>
            <w:vMerge w:val="restart"/>
            <w:tcBorders>
              <w:top w:val="nil"/>
              <w:left w:val="nil"/>
              <w:bottom w:val="nil"/>
              <w:right w:val="nil"/>
            </w:tcBorders>
            <w:shd w:val="clear" w:color="auto" w:fill="auto"/>
            <w:noWrap/>
            <w:vAlign w:val="center"/>
            <w:hideMark/>
          </w:tcPr>
          <w:p w:rsidR="002859D8" w:rsidRPr="008A3522" w:rsidRDefault="002859D8" w:rsidP="00B05451">
            <w:pPr>
              <w:spacing w:after="0" w:line="240" w:lineRule="auto"/>
              <w:rPr>
                <w:rFonts w:ascii="Gill Sans MT" w:eastAsia="Times New Roman" w:hAnsi="Gill Sans MT" w:cs="Times New Roman"/>
                <w:i/>
                <w:iCs/>
                <w:color w:val="000000"/>
                <w:lang w:eastAsia="en-GB"/>
              </w:rPr>
            </w:pPr>
            <w:r w:rsidRPr="008A3522">
              <w:rPr>
                <w:rFonts w:ascii="Gill Sans MT" w:eastAsia="Times New Roman" w:hAnsi="Gill Sans MT" w:cs="Times New Roman"/>
                <w:i/>
                <w:iCs/>
                <w:color w:val="000000"/>
                <w:lang w:eastAsia="en-GB"/>
              </w:rPr>
              <w:t>ISDS_Bin</w:t>
            </w:r>
            <w:r w:rsidRPr="008A3522">
              <w:rPr>
                <w:rFonts w:ascii="Gill Sans MT" w:eastAsia="Times New Roman" w:hAnsi="Gill Sans MT" w:cs="Times New Roman"/>
                <w:i/>
                <w:iCs/>
                <w:color w:val="000000"/>
                <w:vertAlign w:val="subscript"/>
                <w:lang w:eastAsia="en-GB"/>
              </w:rPr>
              <w:t>ijt</w:t>
            </w:r>
            <w:r w:rsidRPr="008A3522">
              <w:rPr>
                <w:rFonts w:ascii="Gill Sans MT" w:eastAsia="Times New Roman" w:hAnsi="Gill Sans MT" w:cs="Times New Roman"/>
                <w:i/>
                <w:iCs/>
                <w:color w:val="000000"/>
                <w:lang w:eastAsia="en-GB"/>
              </w:rPr>
              <w:t>* ISDS_Unre</w:t>
            </w:r>
            <w:r w:rsidRPr="008A3522">
              <w:rPr>
                <w:rFonts w:ascii="Gill Sans MT" w:eastAsia="Times New Roman" w:hAnsi="Gill Sans MT" w:cs="Times New Roman"/>
                <w:i/>
                <w:iCs/>
                <w:color w:val="000000"/>
                <w:vertAlign w:val="subscript"/>
                <w:lang w:eastAsia="en-GB"/>
              </w:rPr>
              <w:t>ijt</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1.455***</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1.259**</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1.005*</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1.179**</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1.657***</w:t>
            </w:r>
          </w:p>
        </w:tc>
        <w:tc>
          <w:tcPr>
            <w:tcW w:w="1094"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4.796**</w:t>
            </w:r>
          </w:p>
        </w:tc>
      </w:tr>
      <w:tr w:rsidR="002859D8" w:rsidRPr="008A3522" w:rsidTr="00B05451">
        <w:trPr>
          <w:trHeight w:val="174"/>
        </w:trPr>
        <w:tc>
          <w:tcPr>
            <w:tcW w:w="2826" w:type="dxa"/>
            <w:gridSpan w:val="2"/>
            <w:vMerge/>
            <w:tcBorders>
              <w:top w:val="nil"/>
              <w:left w:val="nil"/>
              <w:bottom w:val="nil"/>
              <w:right w:val="nil"/>
            </w:tcBorders>
            <w:vAlign w:val="center"/>
            <w:hideMark/>
          </w:tcPr>
          <w:p w:rsidR="002859D8" w:rsidRPr="008A3522" w:rsidRDefault="002859D8" w:rsidP="00B05451">
            <w:pPr>
              <w:spacing w:after="0" w:line="240" w:lineRule="auto"/>
              <w:rPr>
                <w:rFonts w:ascii="Gill Sans MT" w:eastAsia="Times New Roman" w:hAnsi="Gill Sans MT" w:cs="Times New Roman"/>
                <w:i/>
                <w:iCs/>
                <w:color w:val="000000"/>
                <w:lang w:eastAsia="en-GB"/>
              </w:rPr>
            </w:pP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(0.56)</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(0.569)</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(0.527)</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(0.533)</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(0.492)</w:t>
            </w:r>
          </w:p>
        </w:tc>
        <w:tc>
          <w:tcPr>
            <w:tcW w:w="1094"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(2.247)</w:t>
            </w:r>
          </w:p>
        </w:tc>
      </w:tr>
      <w:tr w:rsidR="002859D8" w:rsidRPr="008A3522" w:rsidTr="00B05451">
        <w:trPr>
          <w:trHeight w:val="174"/>
        </w:trPr>
        <w:tc>
          <w:tcPr>
            <w:tcW w:w="2826" w:type="dxa"/>
            <w:gridSpan w:val="2"/>
            <w:vMerge w:val="restart"/>
            <w:tcBorders>
              <w:top w:val="nil"/>
              <w:left w:val="nil"/>
              <w:bottom w:val="nil"/>
              <w:right w:val="nil"/>
            </w:tcBorders>
            <w:shd w:val="clear" w:color="auto" w:fill="auto"/>
            <w:noWrap/>
            <w:vAlign w:val="center"/>
            <w:hideMark/>
          </w:tcPr>
          <w:p w:rsidR="002859D8" w:rsidRPr="008A3522" w:rsidRDefault="002859D8" w:rsidP="00B05451">
            <w:pPr>
              <w:spacing w:after="0" w:line="240" w:lineRule="auto"/>
              <w:rPr>
                <w:rFonts w:ascii="Gill Sans MT" w:eastAsia="Times New Roman" w:hAnsi="Gill Sans MT" w:cs="Times New Roman"/>
                <w:i/>
                <w:iCs/>
                <w:color w:val="000000"/>
                <w:lang w:eastAsia="en-GB"/>
              </w:rPr>
            </w:pPr>
            <w:r w:rsidRPr="008A3522">
              <w:rPr>
                <w:rFonts w:ascii="Gill Sans MT" w:eastAsia="Times New Roman" w:hAnsi="Gill Sans MT" w:cs="Times New Roman"/>
                <w:i/>
                <w:iCs/>
                <w:color w:val="000000"/>
                <w:lang w:eastAsia="en-GB"/>
              </w:rPr>
              <w:t>ln(GDP</w:t>
            </w:r>
            <w:r w:rsidRPr="008A3522">
              <w:rPr>
                <w:rFonts w:ascii="Gill Sans MT" w:eastAsia="Times New Roman" w:hAnsi="Gill Sans MT" w:cs="Times New Roman"/>
                <w:i/>
                <w:iCs/>
                <w:color w:val="000000"/>
                <w:vertAlign w:val="subscript"/>
                <w:lang w:eastAsia="en-GB"/>
              </w:rPr>
              <w:t>it</w:t>
            </w:r>
            <w:r w:rsidRPr="008A3522">
              <w:rPr>
                <w:rFonts w:ascii="Gill Sans MT" w:eastAsia="Times New Roman" w:hAnsi="Gill Sans MT" w:cs="Times New Roman"/>
                <w:i/>
                <w:iCs/>
                <w:color w:val="000000"/>
                <w:lang w:eastAsia="en-GB"/>
              </w:rPr>
              <w:t>)</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2.166***</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2.250***</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2.176***</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2.302***</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2.359***</w:t>
            </w:r>
          </w:p>
        </w:tc>
        <w:tc>
          <w:tcPr>
            <w:tcW w:w="1094"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2.409***</w:t>
            </w:r>
          </w:p>
        </w:tc>
      </w:tr>
      <w:tr w:rsidR="002859D8" w:rsidRPr="008A3522" w:rsidTr="00B05451">
        <w:trPr>
          <w:trHeight w:val="174"/>
        </w:trPr>
        <w:tc>
          <w:tcPr>
            <w:tcW w:w="2826" w:type="dxa"/>
            <w:gridSpan w:val="2"/>
            <w:vMerge/>
            <w:tcBorders>
              <w:top w:val="nil"/>
              <w:left w:val="nil"/>
              <w:bottom w:val="nil"/>
              <w:right w:val="nil"/>
            </w:tcBorders>
            <w:vAlign w:val="center"/>
            <w:hideMark/>
          </w:tcPr>
          <w:p w:rsidR="002859D8" w:rsidRPr="008A3522" w:rsidRDefault="002859D8" w:rsidP="00B05451">
            <w:pPr>
              <w:spacing w:after="0" w:line="240" w:lineRule="auto"/>
              <w:rPr>
                <w:rFonts w:ascii="Gill Sans MT" w:eastAsia="Times New Roman" w:hAnsi="Gill Sans MT" w:cs="Times New Roman"/>
                <w:i/>
                <w:iCs/>
                <w:color w:val="000000"/>
                <w:lang w:eastAsia="en-GB"/>
              </w:rPr>
            </w:pP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(0.37)</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(0.579)</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(0.624)</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(0.635)</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(0.636)</w:t>
            </w:r>
          </w:p>
        </w:tc>
        <w:tc>
          <w:tcPr>
            <w:tcW w:w="1094"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(0.652)</w:t>
            </w:r>
          </w:p>
        </w:tc>
      </w:tr>
      <w:tr w:rsidR="002859D8" w:rsidRPr="008A3522" w:rsidTr="00B05451">
        <w:trPr>
          <w:trHeight w:val="174"/>
        </w:trPr>
        <w:tc>
          <w:tcPr>
            <w:tcW w:w="2826" w:type="dxa"/>
            <w:gridSpan w:val="2"/>
            <w:vMerge w:val="restart"/>
            <w:tcBorders>
              <w:top w:val="nil"/>
              <w:left w:val="nil"/>
              <w:bottom w:val="nil"/>
              <w:right w:val="nil"/>
            </w:tcBorders>
            <w:shd w:val="clear" w:color="auto" w:fill="auto"/>
            <w:noWrap/>
            <w:vAlign w:val="center"/>
            <w:hideMark/>
          </w:tcPr>
          <w:p w:rsidR="002859D8" w:rsidRPr="008A3522" w:rsidRDefault="002859D8" w:rsidP="00B05451">
            <w:pPr>
              <w:spacing w:after="0" w:line="240" w:lineRule="auto"/>
              <w:rPr>
                <w:rFonts w:ascii="Gill Sans MT" w:eastAsia="Times New Roman" w:hAnsi="Gill Sans MT" w:cs="Times New Roman"/>
                <w:i/>
                <w:iCs/>
                <w:color w:val="000000"/>
                <w:lang w:eastAsia="en-GB"/>
              </w:rPr>
            </w:pPr>
            <w:r w:rsidRPr="008A3522">
              <w:rPr>
                <w:rFonts w:ascii="Gill Sans MT" w:eastAsia="Times New Roman" w:hAnsi="Gill Sans MT" w:cs="Times New Roman"/>
                <w:i/>
                <w:iCs/>
                <w:color w:val="000000"/>
                <w:lang w:eastAsia="en-GB"/>
              </w:rPr>
              <w:t>ln(GDP</w:t>
            </w:r>
            <w:r w:rsidRPr="008A3522">
              <w:rPr>
                <w:rFonts w:ascii="Gill Sans MT" w:eastAsia="Times New Roman" w:hAnsi="Gill Sans MT" w:cs="Times New Roman"/>
                <w:i/>
                <w:iCs/>
                <w:color w:val="000000"/>
                <w:vertAlign w:val="subscript"/>
                <w:lang w:eastAsia="en-GB"/>
              </w:rPr>
              <w:t>jt</w:t>
            </w:r>
            <w:r w:rsidRPr="008A3522">
              <w:rPr>
                <w:rFonts w:ascii="Gill Sans MT" w:eastAsia="Times New Roman" w:hAnsi="Gill Sans MT" w:cs="Times New Roman"/>
                <w:i/>
                <w:iCs/>
                <w:color w:val="000000"/>
                <w:lang w:eastAsia="en-GB"/>
              </w:rPr>
              <w:t>)</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1.637***</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1.873***</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1.433***</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1.484***</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1.471***</w:t>
            </w:r>
          </w:p>
        </w:tc>
        <w:tc>
          <w:tcPr>
            <w:tcW w:w="1094"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1.460***</w:t>
            </w:r>
          </w:p>
        </w:tc>
      </w:tr>
      <w:tr w:rsidR="002859D8" w:rsidRPr="008A3522" w:rsidTr="00B05451">
        <w:trPr>
          <w:trHeight w:val="174"/>
        </w:trPr>
        <w:tc>
          <w:tcPr>
            <w:tcW w:w="2826" w:type="dxa"/>
            <w:gridSpan w:val="2"/>
            <w:vMerge/>
            <w:tcBorders>
              <w:top w:val="nil"/>
              <w:left w:val="nil"/>
              <w:bottom w:val="nil"/>
              <w:right w:val="nil"/>
            </w:tcBorders>
            <w:vAlign w:val="center"/>
            <w:hideMark/>
          </w:tcPr>
          <w:p w:rsidR="002859D8" w:rsidRPr="008A3522" w:rsidRDefault="002859D8" w:rsidP="00B05451">
            <w:pPr>
              <w:spacing w:after="0" w:line="240" w:lineRule="auto"/>
              <w:rPr>
                <w:rFonts w:ascii="Gill Sans MT" w:eastAsia="Times New Roman" w:hAnsi="Gill Sans MT" w:cs="Times New Roman"/>
                <w:i/>
                <w:iCs/>
                <w:color w:val="000000"/>
                <w:lang w:eastAsia="en-GB"/>
              </w:rPr>
            </w:pP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(0.351)</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(0.451)</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(0.499)</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(0.499)</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(0.505)</w:t>
            </w:r>
          </w:p>
        </w:tc>
        <w:tc>
          <w:tcPr>
            <w:tcW w:w="1094"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(0.505)</w:t>
            </w:r>
          </w:p>
        </w:tc>
      </w:tr>
      <w:tr w:rsidR="002859D8" w:rsidRPr="008A3522" w:rsidTr="00B05451">
        <w:trPr>
          <w:trHeight w:val="174"/>
        </w:trPr>
        <w:tc>
          <w:tcPr>
            <w:tcW w:w="2826" w:type="dxa"/>
            <w:gridSpan w:val="2"/>
            <w:vMerge w:val="restart"/>
            <w:tcBorders>
              <w:top w:val="nil"/>
              <w:left w:val="nil"/>
              <w:bottom w:val="nil"/>
              <w:right w:val="nil"/>
            </w:tcBorders>
            <w:shd w:val="clear" w:color="auto" w:fill="auto"/>
            <w:noWrap/>
            <w:vAlign w:val="center"/>
            <w:hideMark/>
          </w:tcPr>
          <w:p w:rsidR="002859D8" w:rsidRPr="008A3522" w:rsidRDefault="002859D8" w:rsidP="00B05451">
            <w:pPr>
              <w:spacing w:after="0" w:line="240" w:lineRule="auto"/>
              <w:rPr>
                <w:rFonts w:ascii="Gill Sans MT" w:eastAsia="Times New Roman" w:hAnsi="Gill Sans MT" w:cs="Times New Roman"/>
                <w:i/>
                <w:iCs/>
                <w:color w:val="000000"/>
                <w:lang w:eastAsia="en-GB"/>
              </w:rPr>
            </w:pPr>
            <w:r w:rsidRPr="008A3522">
              <w:rPr>
                <w:rFonts w:ascii="Gill Sans MT" w:eastAsia="Times New Roman" w:hAnsi="Gill Sans MT" w:cs="Times New Roman"/>
                <w:i/>
                <w:iCs/>
                <w:color w:val="000000"/>
                <w:lang w:eastAsia="en-GB"/>
              </w:rPr>
              <w:t>ln(X</w:t>
            </w:r>
            <w:r w:rsidRPr="008A3522">
              <w:rPr>
                <w:rFonts w:ascii="Gill Sans MT" w:eastAsia="Times New Roman" w:hAnsi="Gill Sans MT" w:cs="Times New Roman"/>
                <w:i/>
                <w:iCs/>
                <w:color w:val="000000"/>
                <w:vertAlign w:val="subscript"/>
                <w:lang w:eastAsia="en-GB"/>
              </w:rPr>
              <w:t>ijt</w:t>
            </w:r>
            <w:r w:rsidRPr="008A3522">
              <w:rPr>
                <w:rFonts w:ascii="Gill Sans MT" w:eastAsia="Times New Roman" w:hAnsi="Gill Sans MT" w:cs="Times New Roman"/>
                <w:i/>
                <w:iCs/>
                <w:color w:val="000000"/>
                <w:lang w:eastAsia="en-GB"/>
              </w:rPr>
              <w:t>)</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0.121</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0.109</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0.122</w:t>
            </w:r>
          </w:p>
        </w:tc>
        <w:tc>
          <w:tcPr>
            <w:tcW w:w="1094"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0.129</w:t>
            </w:r>
          </w:p>
        </w:tc>
      </w:tr>
      <w:tr w:rsidR="002859D8" w:rsidRPr="008A3522" w:rsidTr="00B05451">
        <w:trPr>
          <w:trHeight w:val="174"/>
        </w:trPr>
        <w:tc>
          <w:tcPr>
            <w:tcW w:w="2826" w:type="dxa"/>
            <w:gridSpan w:val="2"/>
            <w:vMerge/>
            <w:tcBorders>
              <w:top w:val="nil"/>
              <w:left w:val="nil"/>
              <w:bottom w:val="nil"/>
              <w:right w:val="nil"/>
            </w:tcBorders>
            <w:vAlign w:val="center"/>
            <w:hideMark/>
          </w:tcPr>
          <w:p w:rsidR="002859D8" w:rsidRPr="008A3522" w:rsidRDefault="002859D8" w:rsidP="00B05451">
            <w:pPr>
              <w:spacing w:after="0" w:line="240" w:lineRule="auto"/>
              <w:rPr>
                <w:rFonts w:ascii="Gill Sans MT" w:eastAsia="Times New Roman" w:hAnsi="Gill Sans MT" w:cs="Times New Roman"/>
                <w:i/>
                <w:iCs/>
                <w:color w:val="000000"/>
                <w:lang w:eastAsia="en-GB"/>
              </w:rPr>
            </w:pP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(0.119)</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(0.116)</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(0.120)</w:t>
            </w:r>
          </w:p>
        </w:tc>
        <w:tc>
          <w:tcPr>
            <w:tcW w:w="1094"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(0.120)</w:t>
            </w:r>
          </w:p>
        </w:tc>
      </w:tr>
      <w:tr w:rsidR="002859D8" w:rsidRPr="008A3522" w:rsidTr="00B05451">
        <w:trPr>
          <w:trHeight w:val="174"/>
        </w:trPr>
        <w:tc>
          <w:tcPr>
            <w:tcW w:w="2826" w:type="dxa"/>
            <w:gridSpan w:val="2"/>
            <w:vMerge w:val="restart"/>
            <w:tcBorders>
              <w:top w:val="nil"/>
              <w:left w:val="nil"/>
              <w:bottom w:val="nil"/>
              <w:right w:val="nil"/>
            </w:tcBorders>
            <w:shd w:val="clear" w:color="auto" w:fill="auto"/>
            <w:noWrap/>
            <w:vAlign w:val="center"/>
            <w:hideMark/>
          </w:tcPr>
          <w:p w:rsidR="002859D8" w:rsidRPr="008A3522" w:rsidRDefault="002859D8" w:rsidP="00B05451">
            <w:pPr>
              <w:spacing w:after="0" w:line="240" w:lineRule="auto"/>
              <w:rPr>
                <w:rFonts w:ascii="Gill Sans MT" w:eastAsia="Times New Roman" w:hAnsi="Gill Sans MT" w:cs="Times New Roman"/>
                <w:i/>
                <w:iCs/>
                <w:color w:val="000000"/>
                <w:lang w:eastAsia="en-GB"/>
              </w:rPr>
            </w:pPr>
            <w:r w:rsidRPr="008A3522">
              <w:rPr>
                <w:rFonts w:ascii="Gill Sans MT" w:eastAsia="Times New Roman" w:hAnsi="Gill Sans MT" w:cs="Times New Roman"/>
                <w:i/>
                <w:iCs/>
                <w:color w:val="000000"/>
                <w:lang w:eastAsia="en-GB"/>
              </w:rPr>
              <w:t>ln(M</w:t>
            </w:r>
            <w:r w:rsidRPr="008A3522">
              <w:rPr>
                <w:rFonts w:ascii="Gill Sans MT" w:eastAsia="Times New Roman" w:hAnsi="Gill Sans MT" w:cs="Times New Roman"/>
                <w:i/>
                <w:iCs/>
                <w:color w:val="000000"/>
                <w:vertAlign w:val="subscript"/>
                <w:lang w:eastAsia="en-GB"/>
              </w:rPr>
              <w:t>ijt</w:t>
            </w:r>
            <w:r w:rsidRPr="008A3522">
              <w:rPr>
                <w:rFonts w:ascii="Gill Sans MT" w:eastAsia="Times New Roman" w:hAnsi="Gill Sans MT" w:cs="Times New Roman"/>
                <w:i/>
                <w:iCs/>
                <w:color w:val="000000"/>
                <w:lang w:eastAsia="en-GB"/>
              </w:rPr>
              <w:t>)</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0.266*</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0.241*</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0.235</w:t>
            </w:r>
          </w:p>
        </w:tc>
        <w:tc>
          <w:tcPr>
            <w:tcW w:w="1094"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0.23</w:t>
            </w:r>
          </w:p>
        </w:tc>
      </w:tr>
      <w:tr w:rsidR="002859D8" w:rsidRPr="008A3522" w:rsidTr="00B05451">
        <w:trPr>
          <w:trHeight w:val="174"/>
        </w:trPr>
        <w:tc>
          <w:tcPr>
            <w:tcW w:w="2826" w:type="dxa"/>
            <w:gridSpan w:val="2"/>
            <w:vMerge/>
            <w:tcBorders>
              <w:top w:val="nil"/>
              <w:left w:val="nil"/>
              <w:bottom w:val="nil"/>
              <w:right w:val="nil"/>
            </w:tcBorders>
            <w:vAlign w:val="center"/>
            <w:hideMark/>
          </w:tcPr>
          <w:p w:rsidR="002859D8" w:rsidRPr="008A3522" w:rsidRDefault="002859D8" w:rsidP="00B05451">
            <w:pPr>
              <w:spacing w:after="0" w:line="240" w:lineRule="auto"/>
              <w:rPr>
                <w:rFonts w:ascii="Gill Sans MT" w:eastAsia="Times New Roman" w:hAnsi="Gill Sans MT" w:cs="Times New Roman"/>
                <w:i/>
                <w:iCs/>
                <w:color w:val="000000"/>
                <w:lang w:eastAsia="en-GB"/>
              </w:rPr>
            </w:pP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(0.139)</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(0.144)</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(0.145)</w:t>
            </w:r>
          </w:p>
        </w:tc>
        <w:tc>
          <w:tcPr>
            <w:tcW w:w="1094"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(0.146)</w:t>
            </w:r>
          </w:p>
        </w:tc>
      </w:tr>
      <w:tr w:rsidR="002859D8" w:rsidRPr="008A3522" w:rsidTr="00B05451">
        <w:trPr>
          <w:trHeight w:val="174"/>
        </w:trPr>
        <w:tc>
          <w:tcPr>
            <w:tcW w:w="2826" w:type="dxa"/>
            <w:gridSpan w:val="2"/>
            <w:vMerge w:val="restart"/>
            <w:tcBorders>
              <w:top w:val="nil"/>
              <w:left w:val="nil"/>
              <w:bottom w:val="nil"/>
              <w:right w:val="nil"/>
            </w:tcBorders>
            <w:shd w:val="clear" w:color="auto" w:fill="auto"/>
            <w:noWrap/>
            <w:vAlign w:val="center"/>
            <w:hideMark/>
          </w:tcPr>
          <w:p w:rsidR="002859D8" w:rsidRPr="008A3522" w:rsidRDefault="002859D8" w:rsidP="00B05451">
            <w:pPr>
              <w:spacing w:after="0" w:line="240" w:lineRule="auto"/>
              <w:rPr>
                <w:rFonts w:ascii="Gill Sans MT" w:eastAsia="Times New Roman" w:hAnsi="Gill Sans MT" w:cs="Times New Roman"/>
                <w:i/>
                <w:iCs/>
                <w:color w:val="000000"/>
                <w:lang w:eastAsia="en-GB"/>
              </w:rPr>
            </w:pPr>
            <w:r w:rsidRPr="008A3522">
              <w:rPr>
                <w:rFonts w:ascii="Gill Sans MT" w:eastAsia="Times New Roman" w:hAnsi="Gill Sans MT" w:cs="Times New Roman"/>
                <w:i/>
                <w:iCs/>
                <w:color w:val="000000"/>
                <w:lang w:eastAsia="en-GB"/>
              </w:rPr>
              <w:t>PTA</w:t>
            </w:r>
            <w:r w:rsidRPr="008A3522">
              <w:rPr>
                <w:rFonts w:ascii="Gill Sans MT" w:eastAsia="Times New Roman" w:hAnsi="Gill Sans MT" w:cs="Times New Roman"/>
                <w:i/>
                <w:iCs/>
                <w:color w:val="000000"/>
                <w:vertAlign w:val="subscript"/>
                <w:lang w:eastAsia="en-GB"/>
              </w:rPr>
              <w:t>ijt</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-0.466</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-0.384</w:t>
            </w:r>
          </w:p>
        </w:tc>
        <w:tc>
          <w:tcPr>
            <w:tcW w:w="1094"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-0.401</w:t>
            </w:r>
          </w:p>
        </w:tc>
      </w:tr>
      <w:tr w:rsidR="002859D8" w:rsidRPr="008A3522" w:rsidTr="00B05451">
        <w:trPr>
          <w:trHeight w:val="174"/>
        </w:trPr>
        <w:tc>
          <w:tcPr>
            <w:tcW w:w="2826" w:type="dxa"/>
            <w:gridSpan w:val="2"/>
            <w:vMerge/>
            <w:tcBorders>
              <w:top w:val="nil"/>
              <w:left w:val="nil"/>
              <w:bottom w:val="nil"/>
              <w:right w:val="nil"/>
            </w:tcBorders>
            <w:vAlign w:val="center"/>
            <w:hideMark/>
          </w:tcPr>
          <w:p w:rsidR="002859D8" w:rsidRPr="008A3522" w:rsidRDefault="002859D8" w:rsidP="00B05451">
            <w:pPr>
              <w:spacing w:after="0" w:line="240" w:lineRule="auto"/>
              <w:rPr>
                <w:rFonts w:ascii="Gill Sans MT" w:eastAsia="Times New Roman" w:hAnsi="Gill Sans MT" w:cs="Times New Roman"/>
                <w:i/>
                <w:iCs/>
                <w:color w:val="000000"/>
                <w:lang w:eastAsia="en-GB"/>
              </w:rPr>
            </w:pP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(0.283)</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(0.284)</w:t>
            </w:r>
          </w:p>
        </w:tc>
        <w:tc>
          <w:tcPr>
            <w:tcW w:w="1094"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(0.287)</w:t>
            </w:r>
          </w:p>
        </w:tc>
      </w:tr>
      <w:tr w:rsidR="002859D8" w:rsidRPr="008A3522" w:rsidTr="00B05451">
        <w:trPr>
          <w:trHeight w:val="174"/>
        </w:trPr>
        <w:tc>
          <w:tcPr>
            <w:tcW w:w="2826" w:type="dxa"/>
            <w:gridSpan w:val="2"/>
            <w:vMerge w:val="restart"/>
            <w:tcBorders>
              <w:top w:val="nil"/>
              <w:left w:val="nil"/>
              <w:bottom w:val="nil"/>
              <w:right w:val="nil"/>
            </w:tcBorders>
            <w:shd w:val="clear" w:color="auto" w:fill="auto"/>
            <w:noWrap/>
            <w:vAlign w:val="center"/>
            <w:hideMark/>
          </w:tcPr>
          <w:p w:rsidR="002859D8" w:rsidRPr="008A3522" w:rsidRDefault="002859D8" w:rsidP="00B05451">
            <w:pPr>
              <w:spacing w:after="0" w:line="240" w:lineRule="auto"/>
              <w:rPr>
                <w:rFonts w:ascii="Gill Sans MT" w:eastAsia="Times New Roman" w:hAnsi="Gill Sans MT" w:cs="Times New Roman"/>
                <w:i/>
                <w:iCs/>
                <w:color w:val="000000"/>
                <w:lang w:eastAsia="en-GB"/>
              </w:rPr>
            </w:pPr>
            <w:r w:rsidRPr="008A3522">
              <w:rPr>
                <w:rFonts w:ascii="Gill Sans MT" w:eastAsia="Times New Roman" w:hAnsi="Gill Sans MT" w:cs="Times New Roman"/>
                <w:i/>
                <w:iCs/>
                <w:color w:val="000000"/>
                <w:lang w:eastAsia="en-GB"/>
              </w:rPr>
              <w:t>Inv_Pro</w:t>
            </w:r>
            <w:r w:rsidRPr="008A3522">
              <w:rPr>
                <w:rFonts w:ascii="Gill Sans MT" w:eastAsia="Times New Roman" w:hAnsi="Gill Sans MT" w:cs="Times New Roman"/>
                <w:i/>
                <w:iCs/>
                <w:color w:val="000000"/>
                <w:vertAlign w:val="subscript"/>
                <w:lang w:eastAsia="en-GB"/>
              </w:rPr>
              <w:t>ijt</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0.0515*</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0.0497</w:t>
            </w:r>
          </w:p>
        </w:tc>
        <w:tc>
          <w:tcPr>
            <w:tcW w:w="1094"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0.0507*</w:t>
            </w:r>
          </w:p>
        </w:tc>
      </w:tr>
      <w:tr w:rsidR="002859D8" w:rsidRPr="008A3522" w:rsidTr="00B05451">
        <w:trPr>
          <w:trHeight w:val="174"/>
        </w:trPr>
        <w:tc>
          <w:tcPr>
            <w:tcW w:w="2826" w:type="dxa"/>
            <w:gridSpan w:val="2"/>
            <w:vMerge/>
            <w:tcBorders>
              <w:top w:val="nil"/>
              <w:left w:val="nil"/>
              <w:bottom w:val="nil"/>
              <w:right w:val="nil"/>
            </w:tcBorders>
            <w:vAlign w:val="center"/>
            <w:hideMark/>
          </w:tcPr>
          <w:p w:rsidR="002859D8" w:rsidRPr="008A3522" w:rsidRDefault="002859D8" w:rsidP="00B05451">
            <w:pPr>
              <w:spacing w:after="0" w:line="240" w:lineRule="auto"/>
              <w:rPr>
                <w:rFonts w:ascii="Gill Sans MT" w:eastAsia="Times New Roman" w:hAnsi="Gill Sans MT" w:cs="Times New Roman"/>
                <w:i/>
                <w:iCs/>
                <w:color w:val="000000"/>
                <w:lang w:eastAsia="en-GB"/>
              </w:rPr>
            </w:pP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(0.0305)</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(0.0305)</w:t>
            </w:r>
          </w:p>
        </w:tc>
        <w:tc>
          <w:tcPr>
            <w:tcW w:w="1094"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(0.0307)</w:t>
            </w:r>
          </w:p>
        </w:tc>
      </w:tr>
      <w:tr w:rsidR="002859D8" w:rsidRPr="008A3522" w:rsidTr="00B05451">
        <w:trPr>
          <w:trHeight w:val="174"/>
        </w:trPr>
        <w:tc>
          <w:tcPr>
            <w:tcW w:w="2826" w:type="dxa"/>
            <w:gridSpan w:val="2"/>
            <w:vMerge w:val="restart"/>
            <w:tcBorders>
              <w:top w:val="nil"/>
              <w:left w:val="nil"/>
              <w:bottom w:val="nil"/>
              <w:right w:val="nil"/>
            </w:tcBorders>
            <w:shd w:val="clear" w:color="auto" w:fill="auto"/>
            <w:noWrap/>
            <w:vAlign w:val="center"/>
            <w:hideMark/>
          </w:tcPr>
          <w:p w:rsidR="002859D8" w:rsidRPr="008A3522" w:rsidRDefault="002859D8" w:rsidP="00B05451">
            <w:pPr>
              <w:spacing w:after="0" w:line="240" w:lineRule="auto"/>
              <w:rPr>
                <w:rFonts w:ascii="Gill Sans MT" w:eastAsia="Times New Roman" w:hAnsi="Gill Sans MT" w:cs="Times New Roman"/>
                <w:i/>
                <w:iCs/>
                <w:color w:val="000000"/>
                <w:lang w:eastAsia="en-GB"/>
              </w:rPr>
            </w:pPr>
            <w:r w:rsidRPr="008A3522">
              <w:rPr>
                <w:rFonts w:ascii="Gill Sans MT" w:eastAsia="Times New Roman" w:hAnsi="Gill Sans MT" w:cs="Times New Roman"/>
                <w:i/>
                <w:iCs/>
                <w:color w:val="000000"/>
                <w:lang w:eastAsia="en-GB"/>
              </w:rPr>
              <w:t>Polity</w:t>
            </w:r>
            <w:r w:rsidRPr="008A3522">
              <w:rPr>
                <w:rFonts w:ascii="Gill Sans MT" w:eastAsia="Times New Roman" w:hAnsi="Gill Sans MT" w:cs="Times New Roman"/>
                <w:i/>
                <w:iCs/>
                <w:color w:val="000000"/>
                <w:vertAlign w:val="subscript"/>
                <w:lang w:eastAsia="en-GB"/>
              </w:rPr>
              <w:t>it</w:t>
            </w: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-0.122***</w:t>
            </w:r>
          </w:p>
        </w:tc>
        <w:tc>
          <w:tcPr>
            <w:tcW w:w="1094"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-0.118***</w:t>
            </w:r>
          </w:p>
        </w:tc>
      </w:tr>
      <w:tr w:rsidR="002859D8" w:rsidRPr="008A3522" w:rsidTr="00B05451">
        <w:trPr>
          <w:trHeight w:val="174"/>
        </w:trPr>
        <w:tc>
          <w:tcPr>
            <w:tcW w:w="2826" w:type="dxa"/>
            <w:gridSpan w:val="2"/>
            <w:vMerge/>
            <w:tcBorders>
              <w:top w:val="nil"/>
              <w:left w:val="nil"/>
              <w:bottom w:val="nil"/>
              <w:right w:val="nil"/>
            </w:tcBorders>
            <w:vAlign w:val="center"/>
            <w:hideMark/>
          </w:tcPr>
          <w:p w:rsidR="002859D8" w:rsidRPr="008A3522" w:rsidRDefault="002859D8" w:rsidP="00B05451">
            <w:pPr>
              <w:spacing w:after="0" w:line="240" w:lineRule="auto"/>
              <w:rPr>
                <w:rFonts w:ascii="Gill Sans MT" w:eastAsia="Times New Roman" w:hAnsi="Gill Sans MT" w:cs="Times New Roman"/>
                <w:i/>
                <w:iCs/>
                <w:color w:val="000000"/>
                <w:lang w:eastAsia="en-GB"/>
              </w:rPr>
            </w:pP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(0.0297)</w:t>
            </w:r>
          </w:p>
        </w:tc>
        <w:tc>
          <w:tcPr>
            <w:tcW w:w="1094"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(0.0318)</w:t>
            </w:r>
          </w:p>
        </w:tc>
      </w:tr>
      <w:tr w:rsidR="002859D8" w:rsidRPr="008A3522" w:rsidTr="00B05451">
        <w:trPr>
          <w:trHeight w:val="174"/>
        </w:trPr>
        <w:tc>
          <w:tcPr>
            <w:tcW w:w="539" w:type="dxa"/>
            <w:vMerge w:val="restart"/>
            <w:tcBorders>
              <w:top w:val="nil"/>
              <w:left w:val="nil"/>
              <w:bottom w:val="nil"/>
              <w:right w:val="nil"/>
            </w:tcBorders>
            <w:shd w:val="clear" w:color="auto" w:fill="auto"/>
            <w:textDirection w:val="btLr"/>
            <w:vAlign w:val="center"/>
            <w:hideMark/>
          </w:tcPr>
          <w:p w:rsidR="002859D8" w:rsidRPr="008A3522" w:rsidRDefault="002859D8" w:rsidP="00B05451">
            <w:pPr>
              <w:spacing w:after="0" w:line="240" w:lineRule="auto"/>
              <w:jc w:val="center"/>
              <w:rPr>
                <w:rFonts w:ascii="Gill Sans MT" w:eastAsia="Times New Roman" w:hAnsi="Gill Sans MT" w:cs="Times New Roman"/>
                <w:color w:val="000000"/>
                <w:lang w:eastAsia="en-GB"/>
              </w:rPr>
            </w:pPr>
            <w:r w:rsidRPr="008A3522">
              <w:rPr>
                <w:rFonts w:ascii="Gill Sans MT" w:eastAsia="Times New Roman" w:hAnsi="Gill Sans MT" w:cs="Times New Roman"/>
                <w:color w:val="000000"/>
                <w:lang w:eastAsia="en-GB"/>
              </w:rPr>
              <w:t>Polity Interactions</w:t>
            </w:r>
          </w:p>
        </w:tc>
        <w:tc>
          <w:tcPr>
            <w:tcW w:w="2287" w:type="dxa"/>
            <w:vMerge w:val="restart"/>
            <w:tcBorders>
              <w:top w:val="nil"/>
              <w:left w:val="nil"/>
              <w:bottom w:val="nil"/>
              <w:right w:val="nil"/>
            </w:tcBorders>
            <w:shd w:val="clear" w:color="auto" w:fill="auto"/>
            <w:noWrap/>
            <w:vAlign w:val="center"/>
            <w:hideMark/>
          </w:tcPr>
          <w:p w:rsidR="002859D8" w:rsidRPr="008A3522" w:rsidRDefault="002859D8" w:rsidP="00B05451">
            <w:pPr>
              <w:spacing w:after="0" w:line="240" w:lineRule="auto"/>
              <w:rPr>
                <w:rFonts w:ascii="Gill Sans MT" w:eastAsia="Times New Roman" w:hAnsi="Gill Sans MT" w:cs="Times New Roman"/>
                <w:i/>
                <w:iCs/>
                <w:color w:val="000000"/>
                <w:lang w:eastAsia="en-GB"/>
              </w:rPr>
            </w:pPr>
            <w:r w:rsidRPr="008A3522">
              <w:rPr>
                <w:rFonts w:ascii="Gill Sans MT" w:eastAsia="Times New Roman" w:hAnsi="Gill Sans MT" w:cs="Times New Roman"/>
                <w:i/>
                <w:iCs/>
                <w:color w:val="000000"/>
                <w:lang w:eastAsia="en-GB"/>
              </w:rPr>
              <w:t>BIT</w:t>
            </w:r>
            <w:r w:rsidRPr="008A3522">
              <w:rPr>
                <w:rFonts w:ascii="Gill Sans MT" w:eastAsia="Times New Roman" w:hAnsi="Gill Sans MT" w:cs="Times New Roman"/>
                <w:i/>
                <w:iCs/>
                <w:color w:val="000000"/>
                <w:vertAlign w:val="subscript"/>
                <w:lang w:eastAsia="en-GB"/>
              </w:rPr>
              <w:t>ijt</w:t>
            </w: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94"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0.185</w:t>
            </w:r>
          </w:p>
        </w:tc>
      </w:tr>
      <w:tr w:rsidR="002859D8" w:rsidRPr="008A3522" w:rsidTr="00B05451">
        <w:trPr>
          <w:trHeight w:val="174"/>
        </w:trPr>
        <w:tc>
          <w:tcPr>
            <w:tcW w:w="539" w:type="dxa"/>
            <w:vMerge/>
            <w:tcBorders>
              <w:top w:val="nil"/>
              <w:left w:val="nil"/>
              <w:bottom w:val="nil"/>
              <w:right w:val="nil"/>
            </w:tcBorders>
            <w:vAlign w:val="center"/>
            <w:hideMark/>
          </w:tcPr>
          <w:p w:rsidR="002859D8" w:rsidRPr="008A3522" w:rsidRDefault="002859D8" w:rsidP="00B05451">
            <w:pPr>
              <w:spacing w:after="0" w:line="240" w:lineRule="auto"/>
              <w:rPr>
                <w:rFonts w:ascii="Gill Sans MT" w:eastAsia="Times New Roman" w:hAnsi="Gill Sans MT" w:cs="Times New Roman"/>
                <w:color w:val="000000"/>
                <w:lang w:eastAsia="en-GB"/>
              </w:rPr>
            </w:pPr>
          </w:p>
        </w:tc>
        <w:tc>
          <w:tcPr>
            <w:tcW w:w="2287" w:type="dxa"/>
            <w:vMerge/>
            <w:tcBorders>
              <w:top w:val="nil"/>
              <w:left w:val="nil"/>
              <w:bottom w:val="nil"/>
              <w:right w:val="nil"/>
            </w:tcBorders>
            <w:vAlign w:val="center"/>
            <w:hideMark/>
          </w:tcPr>
          <w:p w:rsidR="002859D8" w:rsidRPr="008A3522" w:rsidRDefault="002859D8" w:rsidP="00B05451">
            <w:pPr>
              <w:spacing w:after="0" w:line="240" w:lineRule="auto"/>
              <w:rPr>
                <w:rFonts w:ascii="Gill Sans MT" w:eastAsia="Times New Roman" w:hAnsi="Gill Sans MT" w:cs="Times New Roman"/>
                <w:i/>
                <w:iCs/>
                <w:color w:val="000000"/>
                <w:lang w:eastAsia="en-GB"/>
              </w:rPr>
            </w:pP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94"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(0.134)</w:t>
            </w:r>
          </w:p>
        </w:tc>
      </w:tr>
      <w:tr w:rsidR="002859D8" w:rsidRPr="008A3522" w:rsidTr="00B05451">
        <w:trPr>
          <w:trHeight w:val="174"/>
        </w:trPr>
        <w:tc>
          <w:tcPr>
            <w:tcW w:w="539" w:type="dxa"/>
            <w:vMerge/>
            <w:tcBorders>
              <w:top w:val="nil"/>
              <w:left w:val="nil"/>
              <w:bottom w:val="nil"/>
              <w:right w:val="nil"/>
            </w:tcBorders>
            <w:vAlign w:val="center"/>
            <w:hideMark/>
          </w:tcPr>
          <w:p w:rsidR="002859D8" w:rsidRPr="008A3522" w:rsidRDefault="002859D8" w:rsidP="00B05451">
            <w:pPr>
              <w:spacing w:after="0" w:line="240" w:lineRule="auto"/>
              <w:rPr>
                <w:rFonts w:ascii="Gill Sans MT" w:eastAsia="Times New Roman" w:hAnsi="Gill Sans MT" w:cs="Times New Roman"/>
                <w:color w:val="000000"/>
                <w:lang w:eastAsia="en-GB"/>
              </w:rPr>
            </w:pPr>
          </w:p>
        </w:tc>
        <w:tc>
          <w:tcPr>
            <w:tcW w:w="2287" w:type="dxa"/>
            <w:vMerge w:val="restart"/>
            <w:tcBorders>
              <w:top w:val="nil"/>
              <w:left w:val="nil"/>
              <w:bottom w:val="nil"/>
              <w:right w:val="nil"/>
            </w:tcBorders>
            <w:shd w:val="clear" w:color="auto" w:fill="auto"/>
            <w:noWrap/>
            <w:vAlign w:val="center"/>
            <w:hideMark/>
          </w:tcPr>
          <w:p w:rsidR="002859D8" w:rsidRPr="008A3522" w:rsidRDefault="002859D8" w:rsidP="00B05451">
            <w:pPr>
              <w:spacing w:after="0" w:line="240" w:lineRule="auto"/>
              <w:rPr>
                <w:rFonts w:ascii="Gill Sans MT" w:eastAsia="Times New Roman" w:hAnsi="Gill Sans MT" w:cs="Times New Roman"/>
                <w:i/>
                <w:iCs/>
                <w:color w:val="000000"/>
                <w:lang w:eastAsia="en-GB"/>
              </w:rPr>
            </w:pPr>
            <w:r w:rsidRPr="008A3522">
              <w:rPr>
                <w:rFonts w:ascii="Gill Sans MT" w:eastAsia="Times New Roman" w:hAnsi="Gill Sans MT" w:cs="Times New Roman"/>
                <w:i/>
                <w:iCs/>
                <w:color w:val="000000"/>
                <w:lang w:eastAsia="en-GB"/>
              </w:rPr>
              <w:t>ISDS_Pre</w:t>
            </w:r>
            <w:r w:rsidRPr="008A3522">
              <w:rPr>
                <w:rFonts w:ascii="Gill Sans MT" w:eastAsia="Times New Roman" w:hAnsi="Gill Sans MT" w:cs="Times New Roman"/>
                <w:i/>
                <w:iCs/>
                <w:color w:val="000000"/>
                <w:vertAlign w:val="subscript"/>
                <w:lang w:eastAsia="en-GB"/>
              </w:rPr>
              <w:t>ijt</w:t>
            </w: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94"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-0.412***</w:t>
            </w:r>
          </w:p>
        </w:tc>
      </w:tr>
      <w:tr w:rsidR="002859D8" w:rsidRPr="008A3522" w:rsidTr="00B05451">
        <w:trPr>
          <w:trHeight w:val="174"/>
        </w:trPr>
        <w:tc>
          <w:tcPr>
            <w:tcW w:w="539" w:type="dxa"/>
            <w:vMerge/>
            <w:tcBorders>
              <w:top w:val="nil"/>
              <w:left w:val="nil"/>
              <w:bottom w:val="nil"/>
              <w:right w:val="nil"/>
            </w:tcBorders>
            <w:vAlign w:val="center"/>
            <w:hideMark/>
          </w:tcPr>
          <w:p w:rsidR="002859D8" w:rsidRPr="008A3522" w:rsidRDefault="002859D8" w:rsidP="00B05451">
            <w:pPr>
              <w:spacing w:after="0" w:line="240" w:lineRule="auto"/>
              <w:rPr>
                <w:rFonts w:ascii="Gill Sans MT" w:eastAsia="Times New Roman" w:hAnsi="Gill Sans MT" w:cs="Times New Roman"/>
                <w:color w:val="000000"/>
                <w:lang w:eastAsia="en-GB"/>
              </w:rPr>
            </w:pPr>
          </w:p>
        </w:tc>
        <w:tc>
          <w:tcPr>
            <w:tcW w:w="2287" w:type="dxa"/>
            <w:vMerge/>
            <w:tcBorders>
              <w:top w:val="nil"/>
              <w:left w:val="nil"/>
              <w:bottom w:val="nil"/>
              <w:right w:val="nil"/>
            </w:tcBorders>
            <w:vAlign w:val="center"/>
            <w:hideMark/>
          </w:tcPr>
          <w:p w:rsidR="002859D8" w:rsidRPr="008A3522" w:rsidRDefault="002859D8" w:rsidP="00B05451">
            <w:pPr>
              <w:spacing w:after="0" w:line="240" w:lineRule="auto"/>
              <w:rPr>
                <w:rFonts w:ascii="Gill Sans MT" w:eastAsia="Times New Roman" w:hAnsi="Gill Sans MT" w:cs="Times New Roman"/>
                <w:i/>
                <w:iCs/>
                <w:color w:val="000000"/>
                <w:lang w:eastAsia="en-GB"/>
              </w:rPr>
            </w:pP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94"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(0.137)</w:t>
            </w:r>
          </w:p>
        </w:tc>
      </w:tr>
      <w:tr w:rsidR="002859D8" w:rsidRPr="008A3522" w:rsidTr="00B05451">
        <w:trPr>
          <w:trHeight w:val="174"/>
        </w:trPr>
        <w:tc>
          <w:tcPr>
            <w:tcW w:w="539" w:type="dxa"/>
            <w:vMerge/>
            <w:tcBorders>
              <w:top w:val="nil"/>
              <w:left w:val="nil"/>
              <w:bottom w:val="nil"/>
              <w:right w:val="nil"/>
            </w:tcBorders>
            <w:vAlign w:val="center"/>
            <w:hideMark/>
          </w:tcPr>
          <w:p w:rsidR="002859D8" w:rsidRPr="008A3522" w:rsidRDefault="002859D8" w:rsidP="00B05451">
            <w:pPr>
              <w:spacing w:after="0" w:line="240" w:lineRule="auto"/>
              <w:rPr>
                <w:rFonts w:ascii="Gill Sans MT" w:eastAsia="Times New Roman" w:hAnsi="Gill Sans MT" w:cs="Times New Roman"/>
                <w:color w:val="000000"/>
                <w:lang w:eastAsia="en-GB"/>
              </w:rPr>
            </w:pPr>
          </w:p>
        </w:tc>
        <w:tc>
          <w:tcPr>
            <w:tcW w:w="2287" w:type="dxa"/>
            <w:vMerge w:val="restart"/>
            <w:tcBorders>
              <w:top w:val="nil"/>
              <w:left w:val="nil"/>
              <w:bottom w:val="nil"/>
              <w:right w:val="nil"/>
            </w:tcBorders>
            <w:shd w:val="clear" w:color="auto" w:fill="auto"/>
            <w:noWrap/>
            <w:vAlign w:val="center"/>
            <w:hideMark/>
          </w:tcPr>
          <w:p w:rsidR="002859D8" w:rsidRPr="008A3522" w:rsidRDefault="002859D8" w:rsidP="00B05451">
            <w:pPr>
              <w:spacing w:after="0" w:line="240" w:lineRule="auto"/>
              <w:rPr>
                <w:rFonts w:ascii="Gill Sans MT" w:eastAsia="Times New Roman" w:hAnsi="Gill Sans MT" w:cs="Times New Roman"/>
                <w:i/>
                <w:iCs/>
                <w:color w:val="000000"/>
                <w:lang w:eastAsia="en-GB"/>
              </w:rPr>
            </w:pPr>
            <w:r w:rsidRPr="008A3522">
              <w:rPr>
                <w:rFonts w:ascii="Gill Sans MT" w:eastAsia="Times New Roman" w:hAnsi="Gill Sans MT" w:cs="Times New Roman"/>
                <w:i/>
                <w:iCs/>
                <w:color w:val="000000"/>
                <w:lang w:eastAsia="en-GB"/>
              </w:rPr>
              <w:t>ISDS_Unre</w:t>
            </w:r>
            <w:r w:rsidRPr="008A3522">
              <w:rPr>
                <w:rFonts w:ascii="Gill Sans MT" w:eastAsia="Times New Roman" w:hAnsi="Gill Sans MT" w:cs="Times New Roman"/>
                <w:i/>
                <w:iCs/>
                <w:color w:val="000000"/>
                <w:vertAlign w:val="subscript"/>
                <w:lang w:eastAsia="en-GB"/>
              </w:rPr>
              <w:t>ijt</w:t>
            </w: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94"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0.264</w:t>
            </w:r>
          </w:p>
        </w:tc>
      </w:tr>
      <w:tr w:rsidR="002859D8" w:rsidRPr="008A3522" w:rsidTr="00B05451">
        <w:trPr>
          <w:trHeight w:val="174"/>
        </w:trPr>
        <w:tc>
          <w:tcPr>
            <w:tcW w:w="539" w:type="dxa"/>
            <w:vMerge/>
            <w:tcBorders>
              <w:top w:val="nil"/>
              <w:left w:val="nil"/>
              <w:bottom w:val="nil"/>
              <w:right w:val="nil"/>
            </w:tcBorders>
            <w:vAlign w:val="center"/>
            <w:hideMark/>
          </w:tcPr>
          <w:p w:rsidR="002859D8" w:rsidRPr="008A3522" w:rsidRDefault="002859D8" w:rsidP="00B05451">
            <w:pPr>
              <w:spacing w:after="0" w:line="240" w:lineRule="auto"/>
              <w:rPr>
                <w:rFonts w:ascii="Gill Sans MT" w:eastAsia="Times New Roman" w:hAnsi="Gill Sans MT" w:cs="Times New Roman"/>
                <w:color w:val="000000"/>
                <w:lang w:eastAsia="en-GB"/>
              </w:rPr>
            </w:pPr>
          </w:p>
        </w:tc>
        <w:tc>
          <w:tcPr>
            <w:tcW w:w="2287" w:type="dxa"/>
            <w:vMerge/>
            <w:tcBorders>
              <w:top w:val="nil"/>
              <w:left w:val="nil"/>
              <w:bottom w:val="nil"/>
              <w:right w:val="nil"/>
            </w:tcBorders>
            <w:vAlign w:val="center"/>
            <w:hideMark/>
          </w:tcPr>
          <w:p w:rsidR="002859D8" w:rsidRPr="008A3522" w:rsidRDefault="002859D8" w:rsidP="00B05451">
            <w:pPr>
              <w:spacing w:after="0" w:line="240" w:lineRule="auto"/>
              <w:rPr>
                <w:rFonts w:ascii="Gill Sans MT" w:eastAsia="Times New Roman" w:hAnsi="Gill Sans MT" w:cs="Times New Roman"/>
                <w:i/>
                <w:iCs/>
                <w:color w:val="000000"/>
                <w:lang w:eastAsia="en-GB"/>
              </w:rPr>
            </w:pP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94"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(0.187)</w:t>
            </w:r>
          </w:p>
        </w:tc>
      </w:tr>
      <w:tr w:rsidR="002859D8" w:rsidRPr="008A3522" w:rsidTr="00B05451">
        <w:trPr>
          <w:trHeight w:val="174"/>
        </w:trPr>
        <w:tc>
          <w:tcPr>
            <w:tcW w:w="539" w:type="dxa"/>
            <w:vMerge/>
            <w:tcBorders>
              <w:top w:val="nil"/>
              <w:left w:val="nil"/>
              <w:bottom w:val="nil"/>
              <w:right w:val="nil"/>
            </w:tcBorders>
            <w:vAlign w:val="center"/>
            <w:hideMark/>
          </w:tcPr>
          <w:p w:rsidR="002859D8" w:rsidRPr="008A3522" w:rsidRDefault="002859D8" w:rsidP="00B05451">
            <w:pPr>
              <w:spacing w:after="0" w:line="240" w:lineRule="auto"/>
              <w:rPr>
                <w:rFonts w:ascii="Gill Sans MT" w:eastAsia="Times New Roman" w:hAnsi="Gill Sans MT" w:cs="Times New Roman"/>
                <w:color w:val="000000"/>
                <w:lang w:eastAsia="en-GB"/>
              </w:rPr>
            </w:pPr>
          </w:p>
        </w:tc>
        <w:tc>
          <w:tcPr>
            <w:tcW w:w="2287" w:type="dxa"/>
            <w:vMerge w:val="restart"/>
            <w:tcBorders>
              <w:top w:val="nil"/>
              <w:left w:val="nil"/>
              <w:bottom w:val="nil"/>
              <w:right w:val="nil"/>
            </w:tcBorders>
            <w:shd w:val="clear" w:color="auto" w:fill="auto"/>
            <w:noWrap/>
            <w:vAlign w:val="center"/>
            <w:hideMark/>
          </w:tcPr>
          <w:p w:rsidR="002859D8" w:rsidRPr="008A3522" w:rsidRDefault="002859D8" w:rsidP="00B05451">
            <w:pPr>
              <w:spacing w:after="0" w:line="240" w:lineRule="auto"/>
              <w:rPr>
                <w:rFonts w:ascii="Gill Sans MT" w:eastAsia="Times New Roman" w:hAnsi="Gill Sans MT" w:cs="Times New Roman"/>
                <w:i/>
                <w:iCs/>
                <w:color w:val="000000"/>
                <w:lang w:eastAsia="en-GB"/>
              </w:rPr>
            </w:pPr>
            <w:r w:rsidRPr="008A3522">
              <w:rPr>
                <w:rFonts w:ascii="Gill Sans MT" w:eastAsia="Times New Roman" w:hAnsi="Gill Sans MT" w:cs="Times New Roman"/>
                <w:i/>
                <w:iCs/>
                <w:color w:val="000000"/>
                <w:lang w:eastAsia="en-GB"/>
              </w:rPr>
              <w:t>ISDS_Bin</w:t>
            </w:r>
            <w:r w:rsidRPr="008A3522">
              <w:rPr>
                <w:rFonts w:ascii="Gill Sans MT" w:eastAsia="Times New Roman" w:hAnsi="Gill Sans MT" w:cs="Times New Roman"/>
                <w:i/>
                <w:iCs/>
                <w:color w:val="000000"/>
                <w:vertAlign w:val="subscript"/>
                <w:lang w:eastAsia="en-GB"/>
              </w:rPr>
              <w:t>ijt</w:t>
            </w: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94"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0.843***</w:t>
            </w:r>
          </w:p>
        </w:tc>
      </w:tr>
      <w:tr w:rsidR="002859D8" w:rsidRPr="008A3522" w:rsidTr="00B05451">
        <w:trPr>
          <w:trHeight w:val="174"/>
        </w:trPr>
        <w:tc>
          <w:tcPr>
            <w:tcW w:w="539" w:type="dxa"/>
            <w:vMerge/>
            <w:tcBorders>
              <w:top w:val="nil"/>
              <w:left w:val="nil"/>
              <w:bottom w:val="nil"/>
              <w:right w:val="nil"/>
            </w:tcBorders>
            <w:vAlign w:val="center"/>
            <w:hideMark/>
          </w:tcPr>
          <w:p w:rsidR="002859D8" w:rsidRPr="008A3522" w:rsidRDefault="002859D8" w:rsidP="00B05451">
            <w:pPr>
              <w:spacing w:after="0" w:line="240" w:lineRule="auto"/>
              <w:rPr>
                <w:rFonts w:ascii="Gill Sans MT" w:eastAsia="Times New Roman" w:hAnsi="Gill Sans MT" w:cs="Times New Roman"/>
                <w:color w:val="000000"/>
                <w:lang w:eastAsia="en-GB"/>
              </w:rPr>
            </w:pPr>
          </w:p>
        </w:tc>
        <w:tc>
          <w:tcPr>
            <w:tcW w:w="2287" w:type="dxa"/>
            <w:vMerge/>
            <w:tcBorders>
              <w:top w:val="nil"/>
              <w:left w:val="nil"/>
              <w:bottom w:val="nil"/>
              <w:right w:val="nil"/>
            </w:tcBorders>
            <w:vAlign w:val="center"/>
            <w:hideMark/>
          </w:tcPr>
          <w:p w:rsidR="002859D8" w:rsidRPr="008A3522" w:rsidRDefault="002859D8" w:rsidP="00B05451">
            <w:pPr>
              <w:spacing w:after="0" w:line="240" w:lineRule="auto"/>
              <w:rPr>
                <w:rFonts w:ascii="Gill Sans MT" w:eastAsia="Times New Roman" w:hAnsi="Gill Sans MT" w:cs="Times New Roman"/>
                <w:i/>
                <w:iCs/>
                <w:color w:val="000000"/>
                <w:lang w:eastAsia="en-GB"/>
              </w:rPr>
            </w:pP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94"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(0.171)</w:t>
            </w:r>
          </w:p>
        </w:tc>
      </w:tr>
      <w:tr w:rsidR="002859D8" w:rsidRPr="008A3522" w:rsidTr="00B05451">
        <w:trPr>
          <w:trHeight w:val="174"/>
        </w:trPr>
        <w:tc>
          <w:tcPr>
            <w:tcW w:w="539" w:type="dxa"/>
            <w:vMerge/>
            <w:tcBorders>
              <w:top w:val="nil"/>
              <w:left w:val="nil"/>
              <w:bottom w:val="nil"/>
              <w:right w:val="nil"/>
            </w:tcBorders>
            <w:vAlign w:val="center"/>
            <w:hideMark/>
          </w:tcPr>
          <w:p w:rsidR="002859D8" w:rsidRPr="008A3522" w:rsidRDefault="002859D8" w:rsidP="00B05451">
            <w:pPr>
              <w:spacing w:after="0" w:line="240" w:lineRule="auto"/>
              <w:rPr>
                <w:rFonts w:ascii="Gill Sans MT" w:eastAsia="Times New Roman" w:hAnsi="Gill Sans MT" w:cs="Times New Roman"/>
                <w:color w:val="000000"/>
                <w:lang w:eastAsia="en-GB"/>
              </w:rPr>
            </w:pPr>
          </w:p>
        </w:tc>
        <w:tc>
          <w:tcPr>
            <w:tcW w:w="2287" w:type="dxa"/>
            <w:vMerge w:val="restart"/>
            <w:tcBorders>
              <w:top w:val="nil"/>
              <w:left w:val="nil"/>
              <w:bottom w:val="nil"/>
              <w:right w:val="nil"/>
            </w:tcBorders>
            <w:shd w:val="clear" w:color="auto" w:fill="auto"/>
            <w:noWrap/>
            <w:vAlign w:val="center"/>
            <w:hideMark/>
          </w:tcPr>
          <w:p w:rsidR="002859D8" w:rsidRPr="008A3522" w:rsidRDefault="002859D8" w:rsidP="00B05451">
            <w:pPr>
              <w:spacing w:after="0" w:line="240" w:lineRule="auto"/>
              <w:rPr>
                <w:rFonts w:ascii="Gill Sans MT" w:eastAsia="Times New Roman" w:hAnsi="Gill Sans MT" w:cs="Times New Roman"/>
                <w:i/>
                <w:iCs/>
                <w:color w:val="000000"/>
                <w:lang w:eastAsia="en-GB"/>
              </w:rPr>
            </w:pPr>
            <w:r w:rsidRPr="008A3522">
              <w:rPr>
                <w:rFonts w:ascii="Gill Sans MT" w:eastAsia="Times New Roman" w:hAnsi="Gill Sans MT" w:cs="Times New Roman"/>
                <w:i/>
                <w:iCs/>
                <w:color w:val="000000"/>
                <w:lang w:eastAsia="en-GB"/>
              </w:rPr>
              <w:t>ISDS_Bin</w:t>
            </w:r>
            <w:r w:rsidRPr="008A3522">
              <w:rPr>
                <w:rFonts w:ascii="Gill Sans MT" w:eastAsia="Times New Roman" w:hAnsi="Gill Sans MT" w:cs="Times New Roman"/>
                <w:i/>
                <w:iCs/>
                <w:color w:val="000000"/>
                <w:vertAlign w:val="subscript"/>
                <w:lang w:eastAsia="en-GB"/>
              </w:rPr>
              <w:t>ijt</w:t>
            </w:r>
            <w:r w:rsidRPr="008A3522">
              <w:rPr>
                <w:rFonts w:ascii="Gill Sans MT" w:eastAsia="Times New Roman" w:hAnsi="Gill Sans MT" w:cs="Times New Roman"/>
                <w:i/>
                <w:iCs/>
                <w:color w:val="000000"/>
                <w:lang w:eastAsia="en-GB"/>
              </w:rPr>
              <w:t>* ISDS_Unre</w:t>
            </w:r>
            <w:r w:rsidRPr="008A3522">
              <w:rPr>
                <w:rFonts w:ascii="Gill Sans MT" w:eastAsia="Times New Roman" w:hAnsi="Gill Sans MT" w:cs="Times New Roman"/>
                <w:i/>
                <w:iCs/>
                <w:color w:val="000000"/>
                <w:vertAlign w:val="subscript"/>
                <w:lang w:eastAsia="en-GB"/>
              </w:rPr>
              <w:t>ijt</w:t>
            </w: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94" w:type="dxa"/>
            <w:tcBorders>
              <w:top w:val="nil"/>
              <w:left w:val="nil"/>
              <w:bottom w:val="nil"/>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-0.368</w:t>
            </w:r>
          </w:p>
        </w:tc>
      </w:tr>
      <w:tr w:rsidR="002859D8" w:rsidRPr="008A3522" w:rsidTr="00B05451">
        <w:trPr>
          <w:trHeight w:val="174"/>
        </w:trPr>
        <w:tc>
          <w:tcPr>
            <w:tcW w:w="539" w:type="dxa"/>
            <w:vMerge/>
            <w:tcBorders>
              <w:top w:val="nil"/>
              <w:left w:val="nil"/>
              <w:bottom w:val="single" w:sz="8" w:space="0" w:color="AA273E"/>
              <w:right w:val="nil"/>
            </w:tcBorders>
            <w:vAlign w:val="center"/>
            <w:hideMark/>
          </w:tcPr>
          <w:p w:rsidR="002859D8" w:rsidRPr="008A3522" w:rsidRDefault="002859D8" w:rsidP="00B05451">
            <w:pPr>
              <w:spacing w:after="0" w:line="240" w:lineRule="auto"/>
              <w:rPr>
                <w:rFonts w:ascii="Gill Sans MT" w:eastAsia="Times New Roman" w:hAnsi="Gill Sans MT" w:cs="Times New Roman"/>
                <w:color w:val="000000"/>
                <w:lang w:eastAsia="en-GB"/>
              </w:rPr>
            </w:pPr>
          </w:p>
        </w:tc>
        <w:tc>
          <w:tcPr>
            <w:tcW w:w="2287" w:type="dxa"/>
            <w:vMerge/>
            <w:tcBorders>
              <w:top w:val="nil"/>
              <w:left w:val="nil"/>
              <w:bottom w:val="single" w:sz="8" w:space="0" w:color="AA273E"/>
              <w:right w:val="nil"/>
            </w:tcBorders>
            <w:vAlign w:val="center"/>
            <w:hideMark/>
          </w:tcPr>
          <w:p w:rsidR="002859D8" w:rsidRPr="008A3522" w:rsidRDefault="002859D8" w:rsidP="00B05451">
            <w:pPr>
              <w:spacing w:after="0" w:line="240" w:lineRule="auto"/>
              <w:rPr>
                <w:rFonts w:ascii="Gill Sans MT" w:eastAsia="Times New Roman" w:hAnsi="Gill Sans MT" w:cs="Times New Roman"/>
                <w:i/>
                <w:iCs/>
                <w:color w:val="000000"/>
                <w:lang w:eastAsia="en-GB"/>
              </w:rPr>
            </w:pPr>
          </w:p>
        </w:tc>
        <w:tc>
          <w:tcPr>
            <w:tcW w:w="1089" w:type="dxa"/>
            <w:tcBorders>
              <w:top w:val="nil"/>
              <w:left w:val="nil"/>
              <w:bottom w:val="single" w:sz="8" w:space="0" w:color="AA273E"/>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single" w:sz="8" w:space="0" w:color="AA273E"/>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single" w:sz="8" w:space="0" w:color="AA273E"/>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single" w:sz="8" w:space="0" w:color="AA273E"/>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89" w:type="dxa"/>
            <w:tcBorders>
              <w:top w:val="nil"/>
              <w:left w:val="nil"/>
              <w:bottom w:val="single" w:sz="8" w:space="0" w:color="AA273E"/>
              <w:right w:val="nil"/>
            </w:tcBorders>
            <w:shd w:val="clear" w:color="auto" w:fill="auto"/>
            <w:noWrap/>
            <w:vAlign w:val="center"/>
            <w:hideMark/>
          </w:tcPr>
          <w:p w:rsidR="002859D8" w:rsidRPr="008A3522" w:rsidRDefault="002859D8" w:rsidP="00B05451">
            <w:pPr>
              <w:spacing w:after="0" w:line="240" w:lineRule="auto"/>
              <w:jc w:val="center"/>
              <w:rPr>
                <w:rFonts w:ascii="Calibri" w:eastAsia="Times New Roman" w:hAnsi="Calibri" w:cs="Times New Roman"/>
                <w:color w:val="000000"/>
                <w:lang w:eastAsia="en-GB"/>
              </w:rPr>
            </w:pPr>
          </w:p>
        </w:tc>
        <w:tc>
          <w:tcPr>
            <w:tcW w:w="1094" w:type="dxa"/>
            <w:tcBorders>
              <w:top w:val="nil"/>
              <w:left w:val="nil"/>
              <w:bottom w:val="single" w:sz="8" w:space="0" w:color="AA273E"/>
              <w:right w:val="nil"/>
            </w:tcBorders>
            <w:shd w:val="clear" w:color="auto" w:fill="auto"/>
            <w:noWrap/>
            <w:vAlign w:val="center"/>
            <w:hideMark/>
          </w:tcPr>
          <w:p w:rsidR="002859D8" w:rsidRPr="00497EDB" w:rsidRDefault="002859D8" w:rsidP="00B05451">
            <w:pPr>
              <w:spacing w:after="0" w:line="240" w:lineRule="auto"/>
              <w:jc w:val="center"/>
              <w:rPr>
                <w:rFonts w:ascii="Gill Sans MT" w:eastAsia="Times New Roman" w:hAnsi="Gill Sans MT" w:cs="Times New Roman"/>
                <w:color w:val="000000"/>
                <w:lang w:eastAsia="en-GB"/>
              </w:rPr>
            </w:pPr>
            <w:r w:rsidRPr="00497EDB">
              <w:rPr>
                <w:rFonts w:ascii="Gill Sans MT" w:eastAsia="Times New Roman" w:hAnsi="Gill Sans MT" w:cs="Times New Roman"/>
                <w:color w:val="000000"/>
                <w:lang w:eastAsia="en-GB"/>
              </w:rPr>
              <w:t>(0.262)</w:t>
            </w:r>
          </w:p>
        </w:tc>
      </w:tr>
      <w:tr w:rsidR="002859D8" w:rsidRPr="008A3522" w:rsidTr="00B05451">
        <w:trPr>
          <w:trHeight w:val="174"/>
        </w:trPr>
        <w:tc>
          <w:tcPr>
            <w:tcW w:w="2826" w:type="dxa"/>
            <w:gridSpan w:val="2"/>
            <w:tcBorders>
              <w:top w:val="nil"/>
              <w:left w:val="nil"/>
              <w:bottom w:val="nil"/>
              <w:right w:val="nil"/>
            </w:tcBorders>
            <w:shd w:val="clear" w:color="auto" w:fill="auto"/>
            <w:noWrap/>
            <w:vAlign w:val="center"/>
            <w:hideMark/>
          </w:tcPr>
          <w:p w:rsidR="002859D8" w:rsidRPr="008A3522" w:rsidRDefault="002859D8" w:rsidP="00B05451">
            <w:pPr>
              <w:spacing w:after="0" w:line="240" w:lineRule="auto"/>
              <w:rPr>
                <w:rFonts w:ascii="Gill Sans MT" w:eastAsia="Times New Roman" w:hAnsi="Gill Sans MT" w:cs="Times New Roman"/>
                <w:color w:val="000000"/>
                <w:lang w:eastAsia="en-GB"/>
              </w:rPr>
            </w:pPr>
            <w:r w:rsidRPr="008A3522">
              <w:rPr>
                <w:rFonts w:ascii="Gill Sans MT" w:eastAsia="Times New Roman" w:hAnsi="Gill Sans MT" w:cs="Times New Roman"/>
                <w:color w:val="000000"/>
                <w:lang w:eastAsia="en-GB"/>
              </w:rPr>
              <w:t>Host-source FE</w:t>
            </w:r>
          </w:p>
        </w:tc>
        <w:tc>
          <w:tcPr>
            <w:tcW w:w="1089" w:type="dxa"/>
            <w:tcBorders>
              <w:top w:val="single" w:sz="8" w:space="0" w:color="AA273E"/>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Gill Sans MT" w:eastAsia="Times New Roman" w:hAnsi="Gill Sans MT" w:cs="Times New Roman"/>
                <w:color w:val="000000"/>
                <w:lang w:eastAsia="en-GB"/>
              </w:rPr>
            </w:pPr>
            <w:r w:rsidRPr="008A3522">
              <w:rPr>
                <w:rFonts w:ascii="Gill Sans MT" w:eastAsia="Times New Roman" w:hAnsi="Gill Sans MT" w:cs="Times New Roman"/>
                <w:color w:val="000000"/>
                <w:lang w:eastAsia="en-GB"/>
              </w:rPr>
              <w:t>Yes</w:t>
            </w:r>
          </w:p>
        </w:tc>
        <w:tc>
          <w:tcPr>
            <w:tcW w:w="1089" w:type="dxa"/>
            <w:tcBorders>
              <w:top w:val="single" w:sz="8" w:space="0" w:color="AA273E"/>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Gill Sans MT" w:eastAsia="Times New Roman" w:hAnsi="Gill Sans MT" w:cs="Times New Roman"/>
                <w:color w:val="000000"/>
                <w:lang w:eastAsia="en-GB"/>
              </w:rPr>
            </w:pPr>
            <w:r w:rsidRPr="008A3522">
              <w:rPr>
                <w:rFonts w:ascii="Gill Sans MT" w:eastAsia="Times New Roman" w:hAnsi="Gill Sans MT" w:cs="Times New Roman"/>
                <w:color w:val="000000"/>
                <w:lang w:eastAsia="en-GB"/>
              </w:rPr>
              <w:t>Yes</w:t>
            </w:r>
          </w:p>
        </w:tc>
        <w:tc>
          <w:tcPr>
            <w:tcW w:w="1089" w:type="dxa"/>
            <w:tcBorders>
              <w:top w:val="single" w:sz="8" w:space="0" w:color="AA273E"/>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Gill Sans MT" w:eastAsia="Times New Roman" w:hAnsi="Gill Sans MT" w:cs="Times New Roman"/>
                <w:color w:val="000000"/>
                <w:lang w:eastAsia="en-GB"/>
              </w:rPr>
            </w:pPr>
            <w:r w:rsidRPr="008A3522">
              <w:rPr>
                <w:rFonts w:ascii="Gill Sans MT" w:eastAsia="Times New Roman" w:hAnsi="Gill Sans MT" w:cs="Times New Roman"/>
                <w:color w:val="000000"/>
                <w:lang w:eastAsia="en-GB"/>
              </w:rPr>
              <w:t>Yes</w:t>
            </w:r>
          </w:p>
        </w:tc>
        <w:tc>
          <w:tcPr>
            <w:tcW w:w="1089" w:type="dxa"/>
            <w:tcBorders>
              <w:top w:val="single" w:sz="8" w:space="0" w:color="AA273E"/>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Gill Sans MT" w:eastAsia="Times New Roman" w:hAnsi="Gill Sans MT" w:cs="Times New Roman"/>
                <w:color w:val="000000"/>
                <w:lang w:eastAsia="en-GB"/>
              </w:rPr>
            </w:pPr>
            <w:r w:rsidRPr="008A3522">
              <w:rPr>
                <w:rFonts w:ascii="Gill Sans MT" w:eastAsia="Times New Roman" w:hAnsi="Gill Sans MT" w:cs="Times New Roman"/>
                <w:color w:val="000000"/>
                <w:lang w:eastAsia="en-GB"/>
              </w:rPr>
              <w:t>Yes</w:t>
            </w:r>
          </w:p>
        </w:tc>
        <w:tc>
          <w:tcPr>
            <w:tcW w:w="1089" w:type="dxa"/>
            <w:tcBorders>
              <w:top w:val="single" w:sz="8" w:space="0" w:color="AA273E"/>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Gill Sans MT" w:eastAsia="Times New Roman" w:hAnsi="Gill Sans MT" w:cs="Times New Roman"/>
                <w:color w:val="000000"/>
                <w:lang w:eastAsia="en-GB"/>
              </w:rPr>
            </w:pPr>
            <w:r w:rsidRPr="008A3522">
              <w:rPr>
                <w:rFonts w:ascii="Gill Sans MT" w:eastAsia="Times New Roman" w:hAnsi="Gill Sans MT" w:cs="Times New Roman"/>
                <w:color w:val="000000"/>
                <w:lang w:eastAsia="en-GB"/>
              </w:rPr>
              <w:t>Yes</w:t>
            </w:r>
          </w:p>
        </w:tc>
        <w:tc>
          <w:tcPr>
            <w:tcW w:w="1094" w:type="dxa"/>
            <w:tcBorders>
              <w:top w:val="single" w:sz="8" w:space="0" w:color="AA273E"/>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Gill Sans MT" w:eastAsia="Times New Roman" w:hAnsi="Gill Sans MT" w:cs="Times New Roman"/>
                <w:color w:val="000000"/>
                <w:lang w:eastAsia="en-GB"/>
              </w:rPr>
            </w:pPr>
            <w:r w:rsidRPr="008A3522">
              <w:rPr>
                <w:rFonts w:ascii="Gill Sans MT" w:eastAsia="Times New Roman" w:hAnsi="Gill Sans MT" w:cs="Times New Roman"/>
                <w:color w:val="000000"/>
                <w:lang w:eastAsia="en-GB"/>
              </w:rPr>
              <w:t>Yes</w:t>
            </w:r>
          </w:p>
        </w:tc>
      </w:tr>
      <w:tr w:rsidR="002859D8" w:rsidRPr="008A3522" w:rsidTr="00B05451">
        <w:trPr>
          <w:trHeight w:val="174"/>
        </w:trPr>
        <w:tc>
          <w:tcPr>
            <w:tcW w:w="2826" w:type="dxa"/>
            <w:gridSpan w:val="2"/>
            <w:tcBorders>
              <w:top w:val="nil"/>
              <w:left w:val="nil"/>
              <w:bottom w:val="nil"/>
              <w:right w:val="nil"/>
            </w:tcBorders>
            <w:shd w:val="clear" w:color="auto" w:fill="auto"/>
            <w:noWrap/>
            <w:vAlign w:val="center"/>
            <w:hideMark/>
          </w:tcPr>
          <w:p w:rsidR="002859D8" w:rsidRPr="008A3522" w:rsidRDefault="002859D8" w:rsidP="00B05451">
            <w:pPr>
              <w:spacing w:after="0" w:line="240" w:lineRule="auto"/>
              <w:rPr>
                <w:rFonts w:ascii="Gill Sans MT" w:eastAsia="Times New Roman" w:hAnsi="Gill Sans MT" w:cs="Times New Roman"/>
                <w:color w:val="000000"/>
                <w:lang w:eastAsia="en-GB"/>
              </w:rPr>
            </w:pPr>
            <w:r w:rsidRPr="008A3522">
              <w:rPr>
                <w:rFonts w:ascii="Gill Sans MT" w:eastAsia="Times New Roman" w:hAnsi="Gill Sans MT" w:cs="Times New Roman"/>
                <w:color w:val="000000"/>
                <w:lang w:eastAsia="en-GB"/>
              </w:rPr>
              <w:t>Year FE</w:t>
            </w: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Gill Sans MT" w:eastAsia="Times New Roman" w:hAnsi="Gill Sans MT" w:cs="Times New Roman"/>
                <w:color w:val="000000"/>
                <w:lang w:eastAsia="en-GB"/>
              </w:rPr>
            </w:pPr>
            <w:r w:rsidRPr="008A3522">
              <w:rPr>
                <w:rFonts w:ascii="Gill Sans MT" w:eastAsia="Times New Roman" w:hAnsi="Gill Sans MT" w:cs="Times New Roman"/>
                <w:color w:val="000000"/>
                <w:lang w:eastAsia="en-GB"/>
              </w:rPr>
              <w:t>No</w:t>
            </w: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Gill Sans MT" w:eastAsia="Times New Roman" w:hAnsi="Gill Sans MT" w:cs="Times New Roman"/>
                <w:color w:val="000000"/>
                <w:lang w:eastAsia="en-GB"/>
              </w:rPr>
            </w:pPr>
            <w:r w:rsidRPr="008A3522">
              <w:rPr>
                <w:rFonts w:ascii="Gill Sans MT" w:eastAsia="Times New Roman" w:hAnsi="Gill Sans MT" w:cs="Times New Roman"/>
                <w:color w:val="000000"/>
                <w:lang w:eastAsia="en-GB"/>
              </w:rPr>
              <w:t>Yes</w:t>
            </w: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Gill Sans MT" w:eastAsia="Times New Roman" w:hAnsi="Gill Sans MT" w:cs="Times New Roman"/>
                <w:color w:val="000000"/>
                <w:lang w:eastAsia="en-GB"/>
              </w:rPr>
            </w:pPr>
            <w:r w:rsidRPr="008A3522">
              <w:rPr>
                <w:rFonts w:ascii="Gill Sans MT" w:eastAsia="Times New Roman" w:hAnsi="Gill Sans MT" w:cs="Times New Roman"/>
                <w:color w:val="000000"/>
                <w:lang w:eastAsia="en-GB"/>
              </w:rPr>
              <w:t>Yes</w:t>
            </w: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Gill Sans MT" w:eastAsia="Times New Roman" w:hAnsi="Gill Sans MT" w:cs="Times New Roman"/>
                <w:color w:val="000000"/>
                <w:lang w:eastAsia="en-GB"/>
              </w:rPr>
            </w:pPr>
            <w:r w:rsidRPr="008A3522">
              <w:rPr>
                <w:rFonts w:ascii="Gill Sans MT" w:eastAsia="Times New Roman" w:hAnsi="Gill Sans MT" w:cs="Times New Roman"/>
                <w:color w:val="000000"/>
                <w:lang w:eastAsia="en-GB"/>
              </w:rPr>
              <w:t>Yes</w:t>
            </w: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Gill Sans MT" w:eastAsia="Times New Roman" w:hAnsi="Gill Sans MT" w:cs="Times New Roman"/>
                <w:color w:val="000000"/>
                <w:lang w:eastAsia="en-GB"/>
              </w:rPr>
            </w:pPr>
            <w:r w:rsidRPr="008A3522">
              <w:rPr>
                <w:rFonts w:ascii="Gill Sans MT" w:eastAsia="Times New Roman" w:hAnsi="Gill Sans MT" w:cs="Times New Roman"/>
                <w:color w:val="000000"/>
                <w:lang w:eastAsia="en-GB"/>
              </w:rPr>
              <w:t>Yes</w:t>
            </w:r>
          </w:p>
        </w:tc>
        <w:tc>
          <w:tcPr>
            <w:tcW w:w="1094"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Gill Sans MT" w:eastAsia="Times New Roman" w:hAnsi="Gill Sans MT" w:cs="Times New Roman"/>
                <w:color w:val="000000"/>
                <w:lang w:eastAsia="en-GB"/>
              </w:rPr>
            </w:pPr>
            <w:r w:rsidRPr="008A3522">
              <w:rPr>
                <w:rFonts w:ascii="Gill Sans MT" w:eastAsia="Times New Roman" w:hAnsi="Gill Sans MT" w:cs="Times New Roman"/>
                <w:color w:val="000000"/>
                <w:lang w:eastAsia="en-GB"/>
              </w:rPr>
              <w:t>Yes</w:t>
            </w:r>
          </w:p>
        </w:tc>
      </w:tr>
      <w:tr w:rsidR="002859D8" w:rsidRPr="008A3522" w:rsidTr="00B05451">
        <w:trPr>
          <w:trHeight w:val="174"/>
        </w:trPr>
        <w:tc>
          <w:tcPr>
            <w:tcW w:w="2826" w:type="dxa"/>
            <w:gridSpan w:val="2"/>
            <w:tcBorders>
              <w:top w:val="nil"/>
              <w:left w:val="nil"/>
              <w:bottom w:val="nil"/>
              <w:right w:val="nil"/>
            </w:tcBorders>
            <w:shd w:val="clear" w:color="auto" w:fill="auto"/>
            <w:noWrap/>
            <w:vAlign w:val="center"/>
            <w:hideMark/>
          </w:tcPr>
          <w:p w:rsidR="002859D8" w:rsidRPr="008A3522" w:rsidRDefault="002859D8" w:rsidP="00B05451">
            <w:pPr>
              <w:spacing w:after="0" w:line="240" w:lineRule="auto"/>
              <w:rPr>
                <w:rFonts w:ascii="Gill Sans MT" w:eastAsia="Times New Roman" w:hAnsi="Gill Sans MT" w:cs="Times New Roman"/>
                <w:color w:val="000000"/>
                <w:lang w:eastAsia="en-GB"/>
              </w:rPr>
            </w:pPr>
            <w:r w:rsidRPr="008A3522">
              <w:rPr>
                <w:rFonts w:ascii="Gill Sans MT" w:eastAsia="Times New Roman" w:hAnsi="Gill Sans MT" w:cs="Times New Roman"/>
                <w:color w:val="000000"/>
                <w:lang w:eastAsia="en-GB"/>
              </w:rPr>
              <w:t>Observations</w:t>
            </w: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Gill Sans MT" w:eastAsia="Times New Roman" w:hAnsi="Gill Sans MT" w:cs="Times New Roman"/>
                <w:color w:val="000000"/>
                <w:lang w:eastAsia="en-GB"/>
              </w:rPr>
            </w:pPr>
            <w:r w:rsidRPr="008A3522">
              <w:rPr>
                <w:rFonts w:ascii="Gill Sans MT" w:eastAsia="Times New Roman" w:hAnsi="Gill Sans MT" w:cs="Times New Roman"/>
                <w:color w:val="000000"/>
                <w:lang w:eastAsia="en-GB"/>
              </w:rPr>
              <w:t>14844</w:t>
            </w: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Gill Sans MT" w:eastAsia="Times New Roman" w:hAnsi="Gill Sans MT" w:cs="Times New Roman"/>
                <w:color w:val="000000"/>
                <w:lang w:eastAsia="en-GB"/>
              </w:rPr>
            </w:pPr>
            <w:r w:rsidRPr="008A3522">
              <w:rPr>
                <w:rFonts w:ascii="Gill Sans MT" w:eastAsia="Times New Roman" w:hAnsi="Gill Sans MT" w:cs="Times New Roman"/>
                <w:color w:val="000000"/>
                <w:lang w:eastAsia="en-GB"/>
              </w:rPr>
              <w:t>14844</w:t>
            </w: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Gill Sans MT" w:eastAsia="Times New Roman" w:hAnsi="Gill Sans MT" w:cs="Times New Roman"/>
                <w:color w:val="000000"/>
                <w:lang w:eastAsia="en-GB"/>
              </w:rPr>
            </w:pPr>
            <w:r w:rsidRPr="008A3522">
              <w:rPr>
                <w:rFonts w:ascii="Gill Sans MT" w:eastAsia="Times New Roman" w:hAnsi="Gill Sans MT" w:cs="Times New Roman"/>
                <w:color w:val="000000"/>
                <w:lang w:eastAsia="en-GB"/>
              </w:rPr>
              <w:t>13252</w:t>
            </w: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Gill Sans MT" w:eastAsia="Times New Roman" w:hAnsi="Gill Sans MT" w:cs="Times New Roman"/>
                <w:color w:val="000000"/>
                <w:lang w:eastAsia="en-GB"/>
              </w:rPr>
            </w:pPr>
            <w:r w:rsidRPr="008A3522">
              <w:rPr>
                <w:rFonts w:ascii="Gill Sans MT" w:eastAsia="Times New Roman" w:hAnsi="Gill Sans MT" w:cs="Times New Roman"/>
                <w:color w:val="000000"/>
                <w:lang w:eastAsia="en-GB"/>
              </w:rPr>
              <w:t>13252</w:t>
            </w:r>
          </w:p>
        </w:tc>
        <w:tc>
          <w:tcPr>
            <w:tcW w:w="1089"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Gill Sans MT" w:eastAsia="Times New Roman" w:hAnsi="Gill Sans MT" w:cs="Times New Roman"/>
                <w:color w:val="000000"/>
                <w:lang w:eastAsia="en-GB"/>
              </w:rPr>
            </w:pPr>
            <w:r w:rsidRPr="008A3522">
              <w:rPr>
                <w:rFonts w:ascii="Gill Sans MT" w:eastAsia="Times New Roman" w:hAnsi="Gill Sans MT" w:cs="Times New Roman"/>
                <w:color w:val="000000"/>
                <w:lang w:eastAsia="en-GB"/>
              </w:rPr>
              <w:t>12878</w:t>
            </w:r>
          </w:p>
        </w:tc>
        <w:tc>
          <w:tcPr>
            <w:tcW w:w="1094" w:type="dxa"/>
            <w:tcBorders>
              <w:top w:val="nil"/>
              <w:left w:val="nil"/>
              <w:bottom w:val="nil"/>
              <w:right w:val="nil"/>
            </w:tcBorders>
            <w:shd w:val="clear" w:color="auto" w:fill="auto"/>
            <w:noWrap/>
            <w:vAlign w:val="center"/>
            <w:hideMark/>
          </w:tcPr>
          <w:p w:rsidR="002859D8" w:rsidRPr="008A3522" w:rsidRDefault="002859D8" w:rsidP="00B05451">
            <w:pPr>
              <w:spacing w:after="0" w:line="240" w:lineRule="auto"/>
              <w:jc w:val="center"/>
              <w:rPr>
                <w:rFonts w:ascii="Gill Sans MT" w:eastAsia="Times New Roman" w:hAnsi="Gill Sans MT" w:cs="Times New Roman"/>
                <w:color w:val="000000"/>
                <w:lang w:eastAsia="en-GB"/>
              </w:rPr>
            </w:pPr>
            <w:r w:rsidRPr="008A3522">
              <w:rPr>
                <w:rFonts w:ascii="Gill Sans MT" w:eastAsia="Times New Roman" w:hAnsi="Gill Sans MT" w:cs="Times New Roman"/>
                <w:color w:val="000000"/>
                <w:lang w:eastAsia="en-GB"/>
              </w:rPr>
              <w:t>12878</w:t>
            </w:r>
          </w:p>
        </w:tc>
      </w:tr>
      <w:tr w:rsidR="002859D8" w:rsidRPr="008A3522" w:rsidTr="00B05451">
        <w:trPr>
          <w:trHeight w:val="182"/>
        </w:trPr>
        <w:tc>
          <w:tcPr>
            <w:tcW w:w="2826" w:type="dxa"/>
            <w:gridSpan w:val="2"/>
            <w:tcBorders>
              <w:top w:val="nil"/>
              <w:left w:val="nil"/>
              <w:bottom w:val="single" w:sz="18" w:space="0" w:color="AA273E"/>
              <w:right w:val="nil"/>
            </w:tcBorders>
            <w:shd w:val="clear" w:color="auto" w:fill="auto"/>
            <w:noWrap/>
            <w:vAlign w:val="center"/>
            <w:hideMark/>
          </w:tcPr>
          <w:p w:rsidR="002859D8" w:rsidRPr="008A3522" w:rsidRDefault="002859D8" w:rsidP="00B05451">
            <w:pPr>
              <w:spacing w:after="0" w:line="240" w:lineRule="auto"/>
              <w:rPr>
                <w:rFonts w:ascii="Gill Sans MT" w:eastAsia="Times New Roman" w:hAnsi="Gill Sans MT" w:cs="Times New Roman"/>
                <w:color w:val="000000"/>
                <w:lang w:eastAsia="en-GB"/>
              </w:rPr>
            </w:pPr>
            <w:r w:rsidRPr="008A3522">
              <w:rPr>
                <w:rFonts w:ascii="Gill Sans MT" w:eastAsia="Times New Roman" w:hAnsi="Gill Sans MT" w:cs="Times New Roman"/>
                <w:color w:val="000000"/>
                <w:lang w:eastAsia="en-GB"/>
              </w:rPr>
              <w:t>Pseudo R-sq</w:t>
            </w:r>
          </w:p>
        </w:tc>
        <w:tc>
          <w:tcPr>
            <w:tcW w:w="1089" w:type="dxa"/>
            <w:tcBorders>
              <w:top w:val="nil"/>
              <w:left w:val="nil"/>
              <w:bottom w:val="single" w:sz="18" w:space="0" w:color="AA273E"/>
              <w:right w:val="nil"/>
            </w:tcBorders>
            <w:shd w:val="clear" w:color="auto" w:fill="auto"/>
            <w:noWrap/>
            <w:vAlign w:val="center"/>
            <w:hideMark/>
          </w:tcPr>
          <w:p w:rsidR="002859D8" w:rsidRPr="008A3522" w:rsidRDefault="002859D8" w:rsidP="00B05451">
            <w:pPr>
              <w:spacing w:after="0" w:line="240" w:lineRule="auto"/>
              <w:jc w:val="center"/>
              <w:rPr>
                <w:rFonts w:ascii="Gill Sans MT" w:eastAsia="Times New Roman" w:hAnsi="Gill Sans MT" w:cs="Times New Roman"/>
                <w:color w:val="000000"/>
                <w:lang w:eastAsia="en-GB"/>
              </w:rPr>
            </w:pPr>
            <w:r w:rsidRPr="008A3522">
              <w:rPr>
                <w:rFonts w:ascii="Gill Sans MT" w:eastAsia="Times New Roman" w:hAnsi="Gill Sans MT" w:cs="Times New Roman"/>
                <w:color w:val="000000"/>
                <w:lang w:eastAsia="en-GB"/>
              </w:rPr>
              <w:t>0.557</w:t>
            </w:r>
          </w:p>
        </w:tc>
        <w:tc>
          <w:tcPr>
            <w:tcW w:w="1089" w:type="dxa"/>
            <w:tcBorders>
              <w:top w:val="nil"/>
              <w:left w:val="nil"/>
              <w:bottom w:val="single" w:sz="18" w:space="0" w:color="AA273E"/>
              <w:right w:val="nil"/>
            </w:tcBorders>
            <w:shd w:val="clear" w:color="auto" w:fill="auto"/>
            <w:noWrap/>
            <w:vAlign w:val="center"/>
            <w:hideMark/>
          </w:tcPr>
          <w:p w:rsidR="002859D8" w:rsidRPr="008A3522" w:rsidRDefault="002859D8" w:rsidP="00B05451">
            <w:pPr>
              <w:spacing w:after="0" w:line="240" w:lineRule="auto"/>
              <w:jc w:val="center"/>
              <w:rPr>
                <w:rFonts w:ascii="Gill Sans MT" w:eastAsia="Times New Roman" w:hAnsi="Gill Sans MT" w:cs="Times New Roman"/>
                <w:color w:val="000000"/>
                <w:lang w:eastAsia="en-GB"/>
              </w:rPr>
            </w:pPr>
            <w:r w:rsidRPr="008A3522">
              <w:rPr>
                <w:rFonts w:ascii="Gill Sans MT" w:eastAsia="Times New Roman" w:hAnsi="Gill Sans MT" w:cs="Times New Roman"/>
                <w:color w:val="000000"/>
                <w:lang w:eastAsia="en-GB"/>
              </w:rPr>
              <w:t>0.605</w:t>
            </w:r>
          </w:p>
        </w:tc>
        <w:tc>
          <w:tcPr>
            <w:tcW w:w="1089" w:type="dxa"/>
            <w:tcBorders>
              <w:top w:val="nil"/>
              <w:left w:val="nil"/>
              <w:bottom w:val="single" w:sz="18" w:space="0" w:color="AA273E"/>
              <w:right w:val="nil"/>
            </w:tcBorders>
            <w:shd w:val="clear" w:color="auto" w:fill="auto"/>
            <w:noWrap/>
            <w:vAlign w:val="center"/>
            <w:hideMark/>
          </w:tcPr>
          <w:p w:rsidR="002859D8" w:rsidRPr="008A3522" w:rsidRDefault="002859D8" w:rsidP="00B05451">
            <w:pPr>
              <w:spacing w:after="0" w:line="240" w:lineRule="auto"/>
              <w:jc w:val="center"/>
              <w:rPr>
                <w:rFonts w:ascii="Gill Sans MT" w:eastAsia="Times New Roman" w:hAnsi="Gill Sans MT" w:cs="Times New Roman"/>
                <w:color w:val="000000"/>
                <w:lang w:eastAsia="en-GB"/>
              </w:rPr>
            </w:pPr>
            <w:r w:rsidRPr="008A3522">
              <w:rPr>
                <w:rFonts w:ascii="Gill Sans MT" w:eastAsia="Times New Roman" w:hAnsi="Gill Sans MT" w:cs="Times New Roman"/>
                <w:color w:val="000000"/>
                <w:lang w:eastAsia="en-GB"/>
              </w:rPr>
              <w:t>0.615</w:t>
            </w:r>
          </w:p>
        </w:tc>
        <w:tc>
          <w:tcPr>
            <w:tcW w:w="1089" w:type="dxa"/>
            <w:tcBorders>
              <w:top w:val="nil"/>
              <w:left w:val="nil"/>
              <w:bottom w:val="single" w:sz="18" w:space="0" w:color="AA273E"/>
              <w:right w:val="nil"/>
            </w:tcBorders>
            <w:shd w:val="clear" w:color="auto" w:fill="auto"/>
            <w:noWrap/>
            <w:vAlign w:val="center"/>
            <w:hideMark/>
          </w:tcPr>
          <w:p w:rsidR="002859D8" w:rsidRPr="008A3522" w:rsidRDefault="002859D8" w:rsidP="00B05451">
            <w:pPr>
              <w:spacing w:after="0" w:line="240" w:lineRule="auto"/>
              <w:jc w:val="center"/>
              <w:rPr>
                <w:rFonts w:ascii="Gill Sans MT" w:eastAsia="Times New Roman" w:hAnsi="Gill Sans MT" w:cs="Times New Roman"/>
                <w:color w:val="000000"/>
                <w:lang w:eastAsia="en-GB"/>
              </w:rPr>
            </w:pPr>
            <w:r w:rsidRPr="008A3522">
              <w:rPr>
                <w:rFonts w:ascii="Gill Sans MT" w:eastAsia="Times New Roman" w:hAnsi="Gill Sans MT" w:cs="Times New Roman"/>
                <w:color w:val="000000"/>
                <w:lang w:eastAsia="en-GB"/>
              </w:rPr>
              <w:t>0.617</w:t>
            </w:r>
          </w:p>
        </w:tc>
        <w:tc>
          <w:tcPr>
            <w:tcW w:w="1089" w:type="dxa"/>
            <w:tcBorders>
              <w:top w:val="nil"/>
              <w:left w:val="nil"/>
              <w:bottom w:val="single" w:sz="18" w:space="0" w:color="AA273E"/>
              <w:right w:val="nil"/>
            </w:tcBorders>
            <w:shd w:val="clear" w:color="auto" w:fill="auto"/>
            <w:noWrap/>
            <w:vAlign w:val="center"/>
            <w:hideMark/>
          </w:tcPr>
          <w:p w:rsidR="002859D8" w:rsidRPr="008A3522" w:rsidRDefault="002859D8" w:rsidP="00B05451">
            <w:pPr>
              <w:spacing w:after="0" w:line="240" w:lineRule="auto"/>
              <w:jc w:val="center"/>
              <w:rPr>
                <w:rFonts w:ascii="Gill Sans MT" w:eastAsia="Times New Roman" w:hAnsi="Gill Sans MT" w:cs="Times New Roman"/>
                <w:color w:val="000000"/>
                <w:lang w:eastAsia="en-GB"/>
              </w:rPr>
            </w:pPr>
            <w:r w:rsidRPr="008A3522">
              <w:rPr>
                <w:rFonts w:ascii="Gill Sans MT" w:eastAsia="Times New Roman" w:hAnsi="Gill Sans MT" w:cs="Times New Roman"/>
                <w:color w:val="000000"/>
                <w:lang w:eastAsia="en-GB"/>
              </w:rPr>
              <w:t>0.617</w:t>
            </w:r>
          </w:p>
        </w:tc>
        <w:tc>
          <w:tcPr>
            <w:tcW w:w="1094" w:type="dxa"/>
            <w:tcBorders>
              <w:top w:val="nil"/>
              <w:left w:val="nil"/>
              <w:bottom w:val="single" w:sz="18" w:space="0" w:color="AA273E"/>
              <w:right w:val="nil"/>
            </w:tcBorders>
            <w:shd w:val="clear" w:color="auto" w:fill="auto"/>
            <w:noWrap/>
            <w:vAlign w:val="center"/>
            <w:hideMark/>
          </w:tcPr>
          <w:p w:rsidR="002859D8" w:rsidRPr="008A3522" w:rsidRDefault="002859D8" w:rsidP="00B05451">
            <w:pPr>
              <w:spacing w:after="0" w:line="240" w:lineRule="auto"/>
              <w:jc w:val="center"/>
              <w:rPr>
                <w:rFonts w:ascii="Gill Sans MT" w:eastAsia="Times New Roman" w:hAnsi="Gill Sans MT" w:cs="Times New Roman"/>
                <w:color w:val="000000"/>
                <w:lang w:eastAsia="en-GB"/>
              </w:rPr>
            </w:pPr>
            <w:r w:rsidRPr="008A3522">
              <w:rPr>
                <w:rFonts w:ascii="Gill Sans MT" w:eastAsia="Times New Roman" w:hAnsi="Gill Sans MT" w:cs="Times New Roman"/>
                <w:color w:val="000000"/>
                <w:lang w:eastAsia="en-GB"/>
              </w:rPr>
              <w:t>0.617</w:t>
            </w:r>
          </w:p>
        </w:tc>
      </w:tr>
      <w:tr w:rsidR="002859D8" w:rsidRPr="008A3522" w:rsidTr="00B05451">
        <w:trPr>
          <w:trHeight w:val="1208"/>
        </w:trPr>
        <w:tc>
          <w:tcPr>
            <w:tcW w:w="9367" w:type="dxa"/>
            <w:gridSpan w:val="8"/>
            <w:tcBorders>
              <w:top w:val="single" w:sz="18" w:space="0" w:color="AA273E"/>
              <w:left w:val="nil"/>
              <w:bottom w:val="nil"/>
              <w:right w:val="nil"/>
            </w:tcBorders>
            <w:shd w:val="clear" w:color="auto" w:fill="auto"/>
            <w:vAlign w:val="center"/>
            <w:hideMark/>
          </w:tcPr>
          <w:p w:rsidR="002859D8" w:rsidRPr="008A3522" w:rsidRDefault="002859D8" w:rsidP="00B05451">
            <w:pPr>
              <w:spacing w:after="0" w:line="240" w:lineRule="auto"/>
              <w:rPr>
                <w:rFonts w:ascii="Gill Sans MT" w:eastAsia="Times New Roman" w:hAnsi="Gill Sans MT" w:cs="Times New Roman"/>
                <w:color w:val="000000"/>
                <w:sz w:val="20"/>
                <w:szCs w:val="20"/>
                <w:lang w:eastAsia="en-GB"/>
              </w:rPr>
            </w:pPr>
            <w:r w:rsidRPr="008A3522">
              <w:rPr>
                <w:rFonts w:ascii="Gill Sans MT" w:eastAsia="Times New Roman" w:hAnsi="Gill Sans MT" w:cs="Times New Roman"/>
                <w:color w:val="000000"/>
                <w:sz w:val="20"/>
                <w:szCs w:val="20"/>
                <w:lang w:eastAsia="en-GB"/>
              </w:rPr>
              <w:t>Appendix 3: Unlike Table II, the base dummy for BITs is split to disseminate the effect of including ISDS prov</w:t>
            </w:r>
            <w:r w:rsidRPr="008A3522">
              <w:rPr>
                <w:rFonts w:ascii="Gill Sans MT" w:eastAsia="Times New Roman" w:hAnsi="Gill Sans MT" w:cs="Times New Roman"/>
                <w:color w:val="000000"/>
                <w:sz w:val="20"/>
                <w:szCs w:val="20"/>
                <w:lang w:eastAsia="en-GB"/>
              </w:rPr>
              <w:t>i</w:t>
            </w:r>
            <w:r w:rsidRPr="008A3522">
              <w:rPr>
                <w:rFonts w:ascii="Gill Sans MT" w:eastAsia="Times New Roman" w:hAnsi="Gill Sans MT" w:cs="Times New Roman"/>
                <w:color w:val="000000"/>
                <w:sz w:val="20"/>
                <w:szCs w:val="20"/>
                <w:lang w:eastAsia="en-GB"/>
              </w:rPr>
              <w:t>sions that do not offer pre-consent. As is evident, the signs and magnitudes of the coefficients are extremely sensitive to the precise specification, likely as a result of a low sample of such treaties. It is therefore hard to conclude on the overall effectiveness of treaties that do not hold any ISDS provisions, but evaluating the effect of deeper provisions is still possible. Note that estimates for the remaining explanatory variables do not change, since the introduction of the extra variable has not actually changed the control groups.</w:t>
            </w:r>
          </w:p>
        </w:tc>
      </w:tr>
    </w:tbl>
    <w:p w:rsidR="002859D8" w:rsidRDefault="002859D8" w:rsidP="0028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New"/>
          <w:b/>
        </w:rPr>
      </w:pPr>
    </w:p>
    <w:p w:rsidR="002859D8" w:rsidRPr="005E1E55" w:rsidRDefault="002859D8" w:rsidP="0028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New"/>
          <w:b/>
        </w:rPr>
      </w:pPr>
    </w:p>
    <w:p w:rsidR="00376A7A" w:rsidRDefault="00376A7A" w:rsidP="00F55AA6">
      <w:pPr>
        <w:pStyle w:val="PlainText"/>
        <w:spacing w:line="360" w:lineRule="auto"/>
        <w:jc w:val="both"/>
        <w:rPr>
          <w:rFonts w:asciiTheme="minorHAnsi" w:hAnsiTheme="minorHAnsi" w:cs="Courier New"/>
          <w:sz w:val="22"/>
          <w:szCs w:val="22"/>
        </w:rPr>
      </w:pPr>
    </w:p>
    <w:sectPr w:rsidR="00376A7A" w:rsidSect="00030BE0">
      <w:footerReference w:type="default" r:id="rId11"/>
      <w:pgSz w:w="11906" w:h="16838"/>
      <w:pgMar w:top="1247" w:right="1332" w:bottom="1247" w:left="1332"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126" w:rsidRDefault="00AC7126" w:rsidP="00030BE0">
      <w:pPr>
        <w:spacing w:after="0" w:line="240" w:lineRule="auto"/>
      </w:pPr>
      <w:r>
        <w:separator/>
      </w:r>
    </w:p>
  </w:endnote>
  <w:endnote w:type="continuationSeparator" w:id="0">
    <w:p w:rsidR="00AC7126" w:rsidRDefault="00AC7126" w:rsidP="00030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622513"/>
      <w:docPartObj>
        <w:docPartGallery w:val="Page Numbers (Bottom of Page)"/>
        <w:docPartUnique/>
      </w:docPartObj>
    </w:sdtPr>
    <w:sdtEndPr>
      <w:rPr>
        <w:noProof/>
      </w:rPr>
    </w:sdtEndPr>
    <w:sdtContent>
      <w:p w:rsidR="00AC7126" w:rsidRDefault="00AC7126">
        <w:pPr>
          <w:pStyle w:val="Footer"/>
          <w:jc w:val="center"/>
        </w:pPr>
        <w:r>
          <w:fldChar w:fldCharType="begin"/>
        </w:r>
        <w:r>
          <w:instrText xml:space="preserve"> PAGE   \* MERGEFORMAT </w:instrText>
        </w:r>
        <w:r>
          <w:fldChar w:fldCharType="separate"/>
        </w:r>
        <w:r w:rsidR="005524F1">
          <w:rPr>
            <w:noProof/>
          </w:rPr>
          <w:t>7</w:t>
        </w:r>
        <w:r>
          <w:rPr>
            <w:noProof/>
          </w:rPr>
          <w:fldChar w:fldCharType="end"/>
        </w:r>
      </w:p>
    </w:sdtContent>
  </w:sdt>
  <w:p w:rsidR="00AC7126" w:rsidRDefault="00AC71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614605"/>
      <w:docPartObj>
        <w:docPartGallery w:val="Page Numbers (Bottom of Page)"/>
        <w:docPartUnique/>
      </w:docPartObj>
    </w:sdtPr>
    <w:sdtEndPr>
      <w:rPr>
        <w:noProof/>
      </w:rPr>
    </w:sdtEndPr>
    <w:sdtContent>
      <w:p w:rsidR="00AC7126" w:rsidRDefault="00AC7126">
        <w:pPr>
          <w:pStyle w:val="Footer"/>
          <w:jc w:val="center"/>
        </w:pPr>
        <w:r>
          <w:fldChar w:fldCharType="begin"/>
        </w:r>
        <w:r>
          <w:instrText xml:space="preserve"> PAGE   \* MERGEFORMAT </w:instrText>
        </w:r>
        <w:r>
          <w:fldChar w:fldCharType="separate"/>
        </w:r>
        <w:r w:rsidR="005524F1">
          <w:rPr>
            <w:noProof/>
          </w:rPr>
          <w:t>18</w:t>
        </w:r>
        <w:r>
          <w:rPr>
            <w:noProof/>
          </w:rPr>
          <w:fldChar w:fldCharType="end"/>
        </w:r>
      </w:p>
    </w:sdtContent>
  </w:sdt>
  <w:p w:rsidR="00AC7126" w:rsidRDefault="00AC7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126" w:rsidRDefault="00AC7126" w:rsidP="00030BE0">
      <w:pPr>
        <w:spacing w:after="0" w:line="240" w:lineRule="auto"/>
      </w:pPr>
      <w:r>
        <w:separator/>
      </w:r>
    </w:p>
  </w:footnote>
  <w:footnote w:type="continuationSeparator" w:id="0">
    <w:p w:rsidR="00AC7126" w:rsidRDefault="00AC7126" w:rsidP="00030BE0">
      <w:pPr>
        <w:spacing w:after="0" w:line="240" w:lineRule="auto"/>
      </w:pPr>
      <w:r>
        <w:continuationSeparator/>
      </w:r>
    </w:p>
  </w:footnote>
  <w:footnote w:id="1">
    <w:p w:rsidR="00B13A0E" w:rsidRDefault="00B13A0E">
      <w:pPr>
        <w:pStyle w:val="FootnoteText"/>
      </w:pPr>
      <w:r>
        <w:rPr>
          <w:rStyle w:val="FootnoteReference"/>
        </w:rPr>
        <w:footnoteRef/>
      </w:r>
      <w:r>
        <w:t xml:space="preserve"> This paper was originally published as DP475 on 3rd July 2017</w:t>
      </w:r>
    </w:p>
  </w:footnote>
  <w:footnote w:id="2">
    <w:p w:rsidR="006F3790" w:rsidRDefault="006F3790">
      <w:pPr>
        <w:pStyle w:val="FootnoteText"/>
      </w:pPr>
      <w:r>
        <w:rPr>
          <w:rStyle w:val="FootnoteReference"/>
        </w:rPr>
        <w:footnoteRef/>
      </w:r>
      <w:r>
        <w:t xml:space="preserve"> NIESR and ESRC Associate Fellow of ‘UK in a Changing Europe’ programme. Corresponding author: a.armstrong@niesr.ac.uk</w:t>
      </w:r>
    </w:p>
  </w:footnote>
  <w:footnote w:id="3">
    <w:p w:rsidR="006F3790" w:rsidRDefault="006F3790">
      <w:pPr>
        <w:pStyle w:val="FootnoteText"/>
      </w:pPr>
      <w:r>
        <w:rPr>
          <w:rStyle w:val="FootnoteReference"/>
        </w:rPr>
        <w:footnoteRef/>
      </w:r>
      <w:r>
        <w:t xml:space="preserve"> Researcher, Oxford Martin School j.winkler@warwick.ac.uk</w:t>
      </w:r>
    </w:p>
  </w:footnote>
  <w:footnote w:id="4">
    <w:p w:rsidR="00AC7126" w:rsidRPr="00DE6293" w:rsidRDefault="00AC7126" w:rsidP="00DE6293">
      <w:pPr>
        <w:pStyle w:val="Heading1"/>
        <w:rPr>
          <w:rFonts w:asciiTheme="minorHAnsi" w:hAnsiTheme="minorHAnsi"/>
          <w:b w:val="0"/>
          <w:sz w:val="20"/>
          <w:szCs w:val="20"/>
        </w:rPr>
      </w:pPr>
      <w:r w:rsidRPr="00DE6293">
        <w:rPr>
          <w:rStyle w:val="FootnoteReference"/>
          <w:rFonts w:asciiTheme="minorHAnsi" w:hAnsiTheme="minorHAnsi"/>
          <w:b w:val="0"/>
          <w:sz w:val="20"/>
          <w:szCs w:val="20"/>
        </w:rPr>
        <w:footnoteRef/>
      </w:r>
      <w:r w:rsidRPr="00DE6293">
        <w:rPr>
          <w:rFonts w:asciiTheme="minorHAnsi" w:hAnsiTheme="minorHAnsi"/>
          <w:b w:val="0"/>
          <w:sz w:val="20"/>
          <w:szCs w:val="20"/>
        </w:rPr>
        <w:t xml:space="preserve"> See </w:t>
      </w:r>
      <w:r>
        <w:rPr>
          <w:rFonts w:asciiTheme="minorHAnsi" w:hAnsiTheme="minorHAnsi"/>
          <w:b w:val="0"/>
          <w:sz w:val="20"/>
          <w:szCs w:val="20"/>
        </w:rPr>
        <w:t xml:space="preserve">ONS statistic Bulletin: </w:t>
      </w:r>
      <w:r w:rsidRPr="00DE6293">
        <w:rPr>
          <w:rFonts w:asciiTheme="minorHAnsi" w:hAnsiTheme="minorHAnsi"/>
          <w:b w:val="0"/>
          <w:sz w:val="20"/>
          <w:szCs w:val="20"/>
        </w:rPr>
        <w:t>Foreign direct investment involving UK companies 2015</w:t>
      </w:r>
      <w:r>
        <w:rPr>
          <w:rFonts w:asciiTheme="minorHAnsi" w:hAnsiTheme="minorHAnsi"/>
          <w:b w:val="0"/>
          <w:sz w:val="20"/>
          <w:szCs w:val="20"/>
        </w:rPr>
        <w:t xml:space="preserve"> for data </w:t>
      </w:r>
      <w:hyperlink r:id="rId1" w:anchor="net-fdi-positions-by-geography-component-and-industry" w:history="1">
        <w:r w:rsidRPr="006C0139">
          <w:rPr>
            <w:rStyle w:val="Hyperlink"/>
            <w:rFonts w:asciiTheme="minorHAnsi" w:hAnsiTheme="minorHAnsi"/>
            <w:b w:val="0"/>
            <w:sz w:val="20"/>
            <w:szCs w:val="20"/>
          </w:rPr>
          <w:t>https://www.ons.gov.uk/economy/nationalaccounts/balanceofpayments/bulletins/foreigndirectinvestmentinvolvingukcompanies/2015#net-fdi-positions-by-geography-component-and-industry</w:t>
        </w:r>
      </w:hyperlink>
    </w:p>
  </w:footnote>
  <w:footnote w:id="5">
    <w:p w:rsidR="00AC7126" w:rsidRDefault="00AC7126" w:rsidP="00B05451">
      <w:pPr>
        <w:pStyle w:val="FootnoteText"/>
      </w:pPr>
      <w:r>
        <w:rPr>
          <w:rStyle w:val="FootnoteReference"/>
        </w:rPr>
        <w:footnoteRef/>
      </w:r>
      <w:r>
        <w:t xml:space="preserve"> This problem is true of virtually all trade models where policy variables are on the right hand side.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F078A"/>
    <w:multiLevelType w:val="multilevel"/>
    <w:tmpl w:val="CDAA70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499D4B66"/>
    <w:multiLevelType w:val="multilevel"/>
    <w:tmpl w:val="CDAA70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68CA556C"/>
    <w:multiLevelType w:val="multilevel"/>
    <w:tmpl w:val="CDAA70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29C"/>
    <w:rsid w:val="00003242"/>
    <w:rsid w:val="00030BE0"/>
    <w:rsid w:val="00034938"/>
    <w:rsid w:val="0004136B"/>
    <w:rsid w:val="00046F83"/>
    <w:rsid w:val="00070BD1"/>
    <w:rsid w:val="000B1AD1"/>
    <w:rsid w:val="000B256A"/>
    <w:rsid w:val="000C7BF1"/>
    <w:rsid w:val="000D65C6"/>
    <w:rsid w:val="00113A8D"/>
    <w:rsid w:val="00117073"/>
    <w:rsid w:val="00121434"/>
    <w:rsid w:val="001379C2"/>
    <w:rsid w:val="0014091F"/>
    <w:rsid w:val="0014570A"/>
    <w:rsid w:val="00155E19"/>
    <w:rsid w:val="00173240"/>
    <w:rsid w:val="00184C0D"/>
    <w:rsid w:val="001B2ABE"/>
    <w:rsid w:val="001E51F1"/>
    <w:rsid w:val="001F0CD8"/>
    <w:rsid w:val="001F7265"/>
    <w:rsid w:val="00225A90"/>
    <w:rsid w:val="002859D8"/>
    <w:rsid w:val="002923D5"/>
    <w:rsid w:val="00296501"/>
    <w:rsid w:val="002E25F6"/>
    <w:rsid w:val="002E6202"/>
    <w:rsid w:val="002F1B13"/>
    <w:rsid w:val="0030754D"/>
    <w:rsid w:val="00314BCC"/>
    <w:rsid w:val="00333DD0"/>
    <w:rsid w:val="00334709"/>
    <w:rsid w:val="003426B2"/>
    <w:rsid w:val="0036723D"/>
    <w:rsid w:val="0036796F"/>
    <w:rsid w:val="00376A7A"/>
    <w:rsid w:val="003B004B"/>
    <w:rsid w:val="003F2C52"/>
    <w:rsid w:val="00405FCD"/>
    <w:rsid w:val="00422C14"/>
    <w:rsid w:val="004424EA"/>
    <w:rsid w:val="0048611F"/>
    <w:rsid w:val="00497EDB"/>
    <w:rsid w:val="004C5247"/>
    <w:rsid w:val="004C6181"/>
    <w:rsid w:val="004D4EB5"/>
    <w:rsid w:val="004E00E7"/>
    <w:rsid w:val="004E3F66"/>
    <w:rsid w:val="00504DCB"/>
    <w:rsid w:val="005139C8"/>
    <w:rsid w:val="00523C77"/>
    <w:rsid w:val="005352EB"/>
    <w:rsid w:val="00545587"/>
    <w:rsid w:val="005524F1"/>
    <w:rsid w:val="00556894"/>
    <w:rsid w:val="005B379E"/>
    <w:rsid w:val="005C312C"/>
    <w:rsid w:val="005D796F"/>
    <w:rsid w:val="005E1E55"/>
    <w:rsid w:val="005E20A3"/>
    <w:rsid w:val="005F2B54"/>
    <w:rsid w:val="006025E2"/>
    <w:rsid w:val="00620447"/>
    <w:rsid w:val="0062322A"/>
    <w:rsid w:val="00625CCB"/>
    <w:rsid w:val="006A3104"/>
    <w:rsid w:val="006D1621"/>
    <w:rsid w:val="006F10DC"/>
    <w:rsid w:val="006F3790"/>
    <w:rsid w:val="00702657"/>
    <w:rsid w:val="0075629C"/>
    <w:rsid w:val="007874F2"/>
    <w:rsid w:val="007A5D18"/>
    <w:rsid w:val="007B4248"/>
    <w:rsid w:val="007E38AA"/>
    <w:rsid w:val="007E6C14"/>
    <w:rsid w:val="007F3AFD"/>
    <w:rsid w:val="007F6EA8"/>
    <w:rsid w:val="0081587B"/>
    <w:rsid w:val="008425C8"/>
    <w:rsid w:val="00860FAA"/>
    <w:rsid w:val="008C1C73"/>
    <w:rsid w:val="008C3308"/>
    <w:rsid w:val="008C45FF"/>
    <w:rsid w:val="00946DC6"/>
    <w:rsid w:val="00971AC8"/>
    <w:rsid w:val="00980B52"/>
    <w:rsid w:val="009A24DA"/>
    <w:rsid w:val="009A5F99"/>
    <w:rsid w:val="009B25DB"/>
    <w:rsid w:val="009E0BB4"/>
    <w:rsid w:val="009F1D0C"/>
    <w:rsid w:val="00A279B4"/>
    <w:rsid w:val="00A45374"/>
    <w:rsid w:val="00A52074"/>
    <w:rsid w:val="00A5799A"/>
    <w:rsid w:val="00A9601D"/>
    <w:rsid w:val="00AB5D5F"/>
    <w:rsid w:val="00AC6F0D"/>
    <w:rsid w:val="00AC7126"/>
    <w:rsid w:val="00AD169B"/>
    <w:rsid w:val="00AE181D"/>
    <w:rsid w:val="00B05451"/>
    <w:rsid w:val="00B13A0E"/>
    <w:rsid w:val="00B25273"/>
    <w:rsid w:val="00B54BC7"/>
    <w:rsid w:val="00B71F4B"/>
    <w:rsid w:val="00B83C8D"/>
    <w:rsid w:val="00B90A38"/>
    <w:rsid w:val="00B97544"/>
    <w:rsid w:val="00B97F49"/>
    <w:rsid w:val="00BB7EFD"/>
    <w:rsid w:val="00BF06D9"/>
    <w:rsid w:val="00BF4042"/>
    <w:rsid w:val="00C01751"/>
    <w:rsid w:val="00C02070"/>
    <w:rsid w:val="00C0595C"/>
    <w:rsid w:val="00C1565F"/>
    <w:rsid w:val="00C27207"/>
    <w:rsid w:val="00C44A29"/>
    <w:rsid w:val="00C710B4"/>
    <w:rsid w:val="00C72196"/>
    <w:rsid w:val="00C80A79"/>
    <w:rsid w:val="00C92B39"/>
    <w:rsid w:val="00C970F0"/>
    <w:rsid w:val="00CB3FB2"/>
    <w:rsid w:val="00CC400F"/>
    <w:rsid w:val="00CD6F03"/>
    <w:rsid w:val="00CF0AB0"/>
    <w:rsid w:val="00D01CD3"/>
    <w:rsid w:val="00D52C50"/>
    <w:rsid w:val="00D73DBE"/>
    <w:rsid w:val="00D84124"/>
    <w:rsid w:val="00D9263E"/>
    <w:rsid w:val="00DE6293"/>
    <w:rsid w:val="00DF2509"/>
    <w:rsid w:val="00E63B45"/>
    <w:rsid w:val="00E65BDC"/>
    <w:rsid w:val="00E82083"/>
    <w:rsid w:val="00EB2489"/>
    <w:rsid w:val="00EC5C69"/>
    <w:rsid w:val="00EF5392"/>
    <w:rsid w:val="00F226B3"/>
    <w:rsid w:val="00F42415"/>
    <w:rsid w:val="00F50EA7"/>
    <w:rsid w:val="00F55AA6"/>
    <w:rsid w:val="00FA16EB"/>
    <w:rsid w:val="00FA538E"/>
    <w:rsid w:val="00FA6779"/>
    <w:rsid w:val="00FB2603"/>
    <w:rsid w:val="00FC7F7D"/>
    <w:rsid w:val="00FF2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21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61E8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61E84"/>
    <w:rPr>
      <w:rFonts w:ascii="Consolas" w:hAnsi="Consolas" w:cs="Consolas"/>
      <w:sz w:val="21"/>
      <w:szCs w:val="21"/>
    </w:rPr>
  </w:style>
  <w:style w:type="character" w:styleId="PlaceholderText">
    <w:name w:val="Placeholder Text"/>
    <w:basedOn w:val="DefaultParagraphFont"/>
    <w:uiPriority w:val="99"/>
    <w:semiHidden/>
    <w:rsid w:val="00D01CD3"/>
    <w:rPr>
      <w:color w:val="808080"/>
    </w:rPr>
  </w:style>
  <w:style w:type="paragraph" w:styleId="BalloonText">
    <w:name w:val="Balloon Text"/>
    <w:basedOn w:val="Normal"/>
    <w:link w:val="BalloonTextChar"/>
    <w:uiPriority w:val="99"/>
    <w:semiHidden/>
    <w:unhideWhenUsed/>
    <w:rsid w:val="00D01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CD3"/>
    <w:rPr>
      <w:rFonts w:ascii="Tahoma" w:hAnsi="Tahoma" w:cs="Tahoma"/>
      <w:sz w:val="16"/>
      <w:szCs w:val="16"/>
    </w:rPr>
  </w:style>
  <w:style w:type="paragraph" w:styleId="HTMLPreformatted">
    <w:name w:val="HTML Preformatted"/>
    <w:basedOn w:val="Normal"/>
    <w:link w:val="HTMLPreformattedChar"/>
    <w:uiPriority w:val="99"/>
    <w:semiHidden/>
    <w:unhideWhenUsed/>
    <w:rsid w:val="00B54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54BC7"/>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030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BE0"/>
  </w:style>
  <w:style w:type="paragraph" w:styleId="Footer">
    <w:name w:val="footer"/>
    <w:basedOn w:val="Normal"/>
    <w:link w:val="FooterChar"/>
    <w:uiPriority w:val="99"/>
    <w:unhideWhenUsed/>
    <w:rsid w:val="00030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BE0"/>
  </w:style>
  <w:style w:type="paragraph" w:styleId="ListParagraph">
    <w:name w:val="List Paragraph"/>
    <w:basedOn w:val="Normal"/>
    <w:uiPriority w:val="34"/>
    <w:qFormat/>
    <w:rsid w:val="005E1E55"/>
    <w:pPr>
      <w:ind w:left="720"/>
      <w:contextualSpacing/>
    </w:pPr>
  </w:style>
  <w:style w:type="character" w:customStyle="1" w:styleId="reference-text">
    <w:name w:val="reference-text"/>
    <w:basedOn w:val="DefaultParagraphFont"/>
    <w:rsid w:val="007F3AFD"/>
  </w:style>
  <w:style w:type="paragraph" w:styleId="Subtitle">
    <w:name w:val="Subtitle"/>
    <w:basedOn w:val="Normal"/>
    <w:next w:val="Normal"/>
    <w:link w:val="SubtitleChar"/>
    <w:uiPriority w:val="11"/>
    <w:qFormat/>
    <w:rsid w:val="006A31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A3104"/>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C721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2196"/>
    <w:rPr>
      <w:sz w:val="20"/>
      <w:szCs w:val="20"/>
    </w:rPr>
  </w:style>
  <w:style w:type="character" w:styleId="FootnoteReference">
    <w:name w:val="footnote reference"/>
    <w:basedOn w:val="DefaultParagraphFont"/>
    <w:uiPriority w:val="99"/>
    <w:semiHidden/>
    <w:unhideWhenUsed/>
    <w:rsid w:val="00C72196"/>
    <w:rPr>
      <w:vertAlign w:val="superscript"/>
    </w:rPr>
  </w:style>
  <w:style w:type="character" w:customStyle="1" w:styleId="Heading1Char">
    <w:name w:val="Heading 1 Char"/>
    <w:basedOn w:val="DefaultParagraphFont"/>
    <w:link w:val="Heading1"/>
    <w:uiPriority w:val="9"/>
    <w:rsid w:val="00C72196"/>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C72196"/>
    <w:rPr>
      <w:color w:val="0000FF" w:themeColor="hyperlink"/>
      <w:u w:val="single"/>
    </w:rPr>
  </w:style>
  <w:style w:type="character" w:styleId="CommentReference">
    <w:name w:val="annotation reference"/>
    <w:basedOn w:val="DefaultParagraphFont"/>
    <w:uiPriority w:val="99"/>
    <w:semiHidden/>
    <w:unhideWhenUsed/>
    <w:rsid w:val="00946DC6"/>
    <w:rPr>
      <w:sz w:val="16"/>
      <w:szCs w:val="16"/>
    </w:rPr>
  </w:style>
  <w:style w:type="paragraph" w:styleId="CommentText">
    <w:name w:val="annotation text"/>
    <w:basedOn w:val="Normal"/>
    <w:link w:val="CommentTextChar"/>
    <w:uiPriority w:val="99"/>
    <w:semiHidden/>
    <w:unhideWhenUsed/>
    <w:rsid w:val="00946DC6"/>
    <w:pPr>
      <w:spacing w:line="240" w:lineRule="auto"/>
    </w:pPr>
    <w:rPr>
      <w:sz w:val="20"/>
      <w:szCs w:val="20"/>
    </w:rPr>
  </w:style>
  <w:style w:type="character" w:customStyle="1" w:styleId="CommentTextChar">
    <w:name w:val="Comment Text Char"/>
    <w:basedOn w:val="DefaultParagraphFont"/>
    <w:link w:val="CommentText"/>
    <w:uiPriority w:val="99"/>
    <w:semiHidden/>
    <w:rsid w:val="00946DC6"/>
    <w:rPr>
      <w:sz w:val="20"/>
      <w:szCs w:val="20"/>
    </w:rPr>
  </w:style>
  <w:style w:type="paragraph" w:styleId="CommentSubject">
    <w:name w:val="annotation subject"/>
    <w:basedOn w:val="CommentText"/>
    <w:next w:val="CommentText"/>
    <w:link w:val="CommentSubjectChar"/>
    <w:uiPriority w:val="99"/>
    <w:semiHidden/>
    <w:unhideWhenUsed/>
    <w:rsid w:val="00946DC6"/>
    <w:rPr>
      <w:b/>
      <w:bCs/>
    </w:rPr>
  </w:style>
  <w:style w:type="character" w:customStyle="1" w:styleId="CommentSubjectChar">
    <w:name w:val="Comment Subject Char"/>
    <w:basedOn w:val="CommentTextChar"/>
    <w:link w:val="CommentSubject"/>
    <w:uiPriority w:val="99"/>
    <w:semiHidden/>
    <w:rsid w:val="00946DC6"/>
    <w:rPr>
      <w:b/>
      <w:bCs/>
      <w:sz w:val="20"/>
      <w:szCs w:val="20"/>
    </w:rPr>
  </w:style>
  <w:style w:type="paragraph" w:styleId="Revision">
    <w:name w:val="Revision"/>
    <w:hidden/>
    <w:uiPriority w:val="99"/>
    <w:semiHidden/>
    <w:rsid w:val="00946D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21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61E8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61E84"/>
    <w:rPr>
      <w:rFonts w:ascii="Consolas" w:hAnsi="Consolas" w:cs="Consolas"/>
      <w:sz w:val="21"/>
      <w:szCs w:val="21"/>
    </w:rPr>
  </w:style>
  <w:style w:type="character" w:styleId="PlaceholderText">
    <w:name w:val="Placeholder Text"/>
    <w:basedOn w:val="DefaultParagraphFont"/>
    <w:uiPriority w:val="99"/>
    <w:semiHidden/>
    <w:rsid w:val="00D01CD3"/>
    <w:rPr>
      <w:color w:val="808080"/>
    </w:rPr>
  </w:style>
  <w:style w:type="paragraph" w:styleId="BalloonText">
    <w:name w:val="Balloon Text"/>
    <w:basedOn w:val="Normal"/>
    <w:link w:val="BalloonTextChar"/>
    <w:uiPriority w:val="99"/>
    <w:semiHidden/>
    <w:unhideWhenUsed/>
    <w:rsid w:val="00D01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CD3"/>
    <w:rPr>
      <w:rFonts w:ascii="Tahoma" w:hAnsi="Tahoma" w:cs="Tahoma"/>
      <w:sz w:val="16"/>
      <w:szCs w:val="16"/>
    </w:rPr>
  </w:style>
  <w:style w:type="paragraph" w:styleId="HTMLPreformatted">
    <w:name w:val="HTML Preformatted"/>
    <w:basedOn w:val="Normal"/>
    <w:link w:val="HTMLPreformattedChar"/>
    <w:uiPriority w:val="99"/>
    <w:semiHidden/>
    <w:unhideWhenUsed/>
    <w:rsid w:val="00B54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54BC7"/>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030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BE0"/>
  </w:style>
  <w:style w:type="paragraph" w:styleId="Footer">
    <w:name w:val="footer"/>
    <w:basedOn w:val="Normal"/>
    <w:link w:val="FooterChar"/>
    <w:uiPriority w:val="99"/>
    <w:unhideWhenUsed/>
    <w:rsid w:val="00030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BE0"/>
  </w:style>
  <w:style w:type="paragraph" w:styleId="ListParagraph">
    <w:name w:val="List Paragraph"/>
    <w:basedOn w:val="Normal"/>
    <w:uiPriority w:val="34"/>
    <w:qFormat/>
    <w:rsid w:val="005E1E55"/>
    <w:pPr>
      <w:ind w:left="720"/>
      <w:contextualSpacing/>
    </w:pPr>
  </w:style>
  <w:style w:type="character" w:customStyle="1" w:styleId="reference-text">
    <w:name w:val="reference-text"/>
    <w:basedOn w:val="DefaultParagraphFont"/>
    <w:rsid w:val="007F3AFD"/>
  </w:style>
  <w:style w:type="paragraph" w:styleId="Subtitle">
    <w:name w:val="Subtitle"/>
    <w:basedOn w:val="Normal"/>
    <w:next w:val="Normal"/>
    <w:link w:val="SubtitleChar"/>
    <w:uiPriority w:val="11"/>
    <w:qFormat/>
    <w:rsid w:val="006A31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A3104"/>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C721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2196"/>
    <w:rPr>
      <w:sz w:val="20"/>
      <w:szCs w:val="20"/>
    </w:rPr>
  </w:style>
  <w:style w:type="character" w:styleId="FootnoteReference">
    <w:name w:val="footnote reference"/>
    <w:basedOn w:val="DefaultParagraphFont"/>
    <w:uiPriority w:val="99"/>
    <w:semiHidden/>
    <w:unhideWhenUsed/>
    <w:rsid w:val="00C72196"/>
    <w:rPr>
      <w:vertAlign w:val="superscript"/>
    </w:rPr>
  </w:style>
  <w:style w:type="character" w:customStyle="1" w:styleId="Heading1Char">
    <w:name w:val="Heading 1 Char"/>
    <w:basedOn w:val="DefaultParagraphFont"/>
    <w:link w:val="Heading1"/>
    <w:uiPriority w:val="9"/>
    <w:rsid w:val="00C72196"/>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C72196"/>
    <w:rPr>
      <w:color w:val="0000FF" w:themeColor="hyperlink"/>
      <w:u w:val="single"/>
    </w:rPr>
  </w:style>
  <w:style w:type="character" w:styleId="CommentReference">
    <w:name w:val="annotation reference"/>
    <w:basedOn w:val="DefaultParagraphFont"/>
    <w:uiPriority w:val="99"/>
    <w:semiHidden/>
    <w:unhideWhenUsed/>
    <w:rsid w:val="00946DC6"/>
    <w:rPr>
      <w:sz w:val="16"/>
      <w:szCs w:val="16"/>
    </w:rPr>
  </w:style>
  <w:style w:type="paragraph" w:styleId="CommentText">
    <w:name w:val="annotation text"/>
    <w:basedOn w:val="Normal"/>
    <w:link w:val="CommentTextChar"/>
    <w:uiPriority w:val="99"/>
    <w:semiHidden/>
    <w:unhideWhenUsed/>
    <w:rsid w:val="00946DC6"/>
    <w:pPr>
      <w:spacing w:line="240" w:lineRule="auto"/>
    </w:pPr>
    <w:rPr>
      <w:sz w:val="20"/>
      <w:szCs w:val="20"/>
    </w:rPr>
  </w:style>
  <w:style w:type="character" w:customStyle="1" w:styleId="CommentTextChar">
    <w:name w:val="Comment Text Char"/>
    <w:basedOn w:val="DefaultParagraphFont"/>
    <w:link w:val="CommentText"/>
    <w:uiPriority w:val="99"/>
    <w:semiHidden/>
    <w:rsid w:val="00946DC6"/>
    <w:rPr>
      <w:sz w:val="20"/>
      <w:szCs w:val="20"/>
    </w:rPr>
  </w:style>
  <w:style w:type="paragraph" w:styleId="CommentSubject">
    <w:name w:val="annotation subject"/>
    <w:basedOn w:val="CommentText"/>
    <w:next w:val="CommentText"/>
    <w:link w:val="CommentSubjectChar"/>
    <w:uiPriority w:val="99"/>
    <w:semiHidden/>
    <w:unhideWhenUsed/>
    <w:rsid w:val="00946DC6"/>
    <w:rPr>
      <w:b/>
      <w:bCs/>
    </w:rPr>
  </w:style>
  <w:style w:type="character" w:customStyle="1" w:styleId="CommentSubjectChar">
    <w:name w:val="Comment Subject Char"/>
    <w:basedOn w:val="CommentTextChar"/>
    <w:link w:val="CommentSubject"/>
    <w:uiPriority w:val="99"/>
    <w:semiHidden/>
    <w:rsid w:val="00946DC6"/>
    <w:rPr>
      <w:b/>
      <w:bCs/>
      <w:sz w:val="20"/>
      <w:szCs w:val="20"/>
    </w:rPr>
  </w:style>
  <w:style w:type="paragraph" w:styleId="Revision">
    <w:name w:val="Revision"/>
    <w:hidden/>
    <w:uiPriority w:val="99"/>
    <w:semiHidden/>
    <w:rsid w:val="00946D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8971">
      <w:bodyDiv w:val="1"/>
      <w:marLeft w:val="0"/>
      <w:marRight w:val="0"/>
      <w:marTop w:val="0"/>
      <w:marBottom w:val="0"/>
      <w:divBdr>
        <w:top w:val="none" w:sz="0" w:space="0" w:color="auto"/>
        <w:left w:val="none" w:sz="0" w:space="0" w:color="auto"/>
        <w:bottom w:val="none" w:sz="0" w:space="0" w:color="auto"/>
        <w:right w:val="none" w:sz="0" w:space="0" w:color="auto"/>
      </w:divBdr>
    </w:div>
    <w:div w:id="172570311">
      <w:bodyDiv w:val="1"/>
      <w:marLeft w:val="0"/>
      <w:marRight w:val="0"/>
      <w:marTop w:val="0"/>
      <w:marBottom w:val="0"/>
      <w:divBdr>
        <w:top w:val="none" w:sz="0" w:space="0" w:color="auto"/>
        <w:left w:val="none" w:sz="0" w:space="0" w:color="auto"/>
        <w:bottom w:val="none" w:sz="0" w:space="0" w:color="auto"/>
        <w:right w:val="none" w:sz="0" w:space="0" w:color="auto"/>
      </w:divBdr>
    </w:div>
    <w:div w:id="178159582">
      <w:bodyDiv w:val="1"/>
      <w:marLeft w:val="0"/>
      <w:marRight w:val="0"/>
      <w:marTop w:val="0"/>
      <w:marBottom w:val="0"/>
      <w:divBdr>
        <w:top w:val="none" w:sz="0" w:space="0" w:color="auto"/>
        <w:left w:val="none" w:sz="0" w:space="0" w:color="auto"/>
        <w:bottom w:val="none" w:sz="0" w:space="0" w:color="auto"/>
        <w:right w:val="none" w:sz="0" w:space="0" w:color="auto"/>
      </w:divBdr>
    </w:div>
    <w:div w:id="195656749">
      <w:bodyDiv w:val="1"/>
      <w:marLeft w:val="0"/>
      <w:marRight w:val="0"/>
      <w:marTop w:val="0"/>
      <w:marBottom w:val="0"/>
      <w:divBdr>
        <w:top w:val="none" w:sz="0" w:space="0" w:color="auto"/>
        <w:left w:val="none" w:sz="0" w:space="0" w:color="auto"/>
        <w:bottom w:val="none" w:sz="0" w:space="0" w:color="auto"/>
        <w:right w:val="none" w:sz="0" w:space="0" w:color="auto"/>
      </w:divBdr>
    </w:div>
    <w:div w:id="660736109">
      <w:bodyDiv w:val="1"/>
      <w:marLeft w:val="0"/>
      <w:marRight w:val="0"/>
      <w:marTop w:val="0"/>
      <w:marBottom w:val="0"/>
      <w:divBdr>
        <w:top w:val="none" w:sz="0" w:space="0" w:color="auto"/>
        <w:left w:val="none" w:sz="0" w:space="0" w:color="auto"/>
        <w:bottom w:val="none" w:sz="0" w:space="0" w:color="auto"/>
        <w:right w:val="none" w:sz="0" w:space="0" w:color="auto"/>
      </w:divBdr>
    </w:div>
    <w:div w:id="877158037">
      <w:bodyDiv w:val="1"/>
      <w:marLeft w:val="0"/>
      <w:marRight w:val="0"/>
      <w:marTop w:val="0"/>
      <w:marBottom w:val="0"/>
      <w:divBdr>
        <w:top w:val="none" w:sz="0" w:space="0" w:color="auto"/>
        <w:left w:val="none" w:sz="0" w:space="0" w:color="auto"/>
        <w:bottom w:val="none" w:sz="0" w:space="0" w:color="auto"/>
        <w:right w:val="none" w:sz="0" w:space="0" w:color="auto"/>
      </w:divBdr>
    </w:div>
    <w:div w:id="945113044">
      <w:bodyDiv w:val="1"/>
      <w:marLeft w:val="0"/>
      <w:marRight w:val="0"/>
      <w:marTop w:val="0"/>
      <w:marBottom w:val="0"/>
      <w:divBdr>
        <w:top w:val="none" w:sz="0" w:space="0" w:color="auto"/>
        <w:left w:val="none" w:sz="0" w:space="0" w:color="auto"/>
        <w:bottom w:val="none" w:sz="0" w:space="0" w:color="auto"/>
        <w:right w:val="none" w:sz="0" w:space="0" w:color="auto"/>
      </w:divBdr>
    </w:div>
    <w:div w:id="984161864">
      <w:bodyDiv w:val="1"/>
      <w:marLeft w:val="0"/>
      <w:marRight w:val="0"/>
      <w:marTop w:val="0"/>
      <w:marBottom w:val="0"/>
      <w:divBdr>
        <w:top w:val="none" w:sz="0" w:space="0" w:color="auto"/>
        <w:left w:val="none" w:sz="0" w:space="0" w:color="auto"/>
        <w:bottom w:val="none" w:sz="0" w:space="0" w:color="auto"/>
        <w:right w:val="none" w:sz="0" w:space="0" w:color="auto"/>
      </w:divBdr>
    </w:div>
    <w:div w:id="1027096672">
      <w:bodyDiv w:val="1"/>
      <w:marLeft w:val="0"/>
      <w:marRight w:val="0"/>
      <w:marTop w:val="0"/>
      <w:marBottom w:val="0"/>
      <w:divBdr>
        <w:top w:val="none" w:sz="0" w:space="0" w:color="auto"/>
        <w:left w:val="none" w:sz="0" w:space="0" w:color="auto"/>
        <w:bottom w:val="none" w:sz="0" w:space="0" w:color="auto"/>
        <w:right w:val="none" w:sz="0" w:space="0" w:color="auto"/>
      </w:divBdr>
    </w:div>
    <w:div w:id="1212422020">
      <w:bodyDiv w:val="1"/>
      <w:marLeft w:val="0"/>
      <w:marRight w:val="0"/>
      <w:marTop w:val="0"/>
      <w:marBottom w:val="0"/>
      <w:divBdr>
        <w:top w:val="none" w:sz="0" w:space="0" w:color="auto"/>
        <w:left w:val="none" w:sz="0" w:space="0" w:color="auto"/>
        <w:bottom w:val="none" w:sz="0" w:space="0" w:color="auto"/>
        <w:right w:val="none" w:sz="0" w:space="0" w:color="auto"/>
      </w:divBdr>
    </w:div>
    <w:div w:id="1294677742">
      <w:bodyDiv w:val="1"/>
      <w:marLeft w:val="0"/>
      <w:marRight w:val="0"/>
      <w:marTop w:val="0"/>
      <w:marBottom w:val="0"/>
      <w:divBdr>
        <w:top w:val="none" w:sz="0" w:space="0" w:color="auto"/>
        <w:left w:val="none" w:sz="0" w:space="0" w:color="auto"/>
        <w:bottom w:val="none" w:sz="0" w:space="0" w:color="auto"/>
        <w:right w:val="none" w:sz="0" w:space="0" w:color="auto"/>
      </w:divBdr>
    </w:div>
    <w:div w:id="1311441898">
      <w:bodyDiv w:val="1"/>
      <w:marLeft w:val="0"/>
      <w:marRight w:val="0"/>
      <w:marTop w:val="0"/>
      <w:marBottom w:val="0"/>
      <w:divBdr>
        <w:top w:val="none" w:sz="0" w:space="0" w:color="auto"/>
        <w:left w:val="none" w:sz="0" w:space="0" w:color="auto"/>
        <w:bottom w:val="none" w:sz="0" w:space="0" w:color="auto"/>
        <w:right w:val="none" w:sz="0" w:space="0" w:color="auto"/>
      </w:divBdr>
    </w:div>
    <w:div w:id="1350913617">
      <w:bodyDiv w:val="1"/>
      <w:marLeft w:val="0"/>
      <w:marRight w:val="0"/>
      <w:marTop w:val="0"/>
      <w:marBottom w:val="0"/>
      <w:divBdr>
        <w:top w:val="none" w:sz="0" w:space="0" w:color="auto"/>
        <w:left w:val="none" w:sz="0" w:space="0" w:color="auto"/>
        <w:bottom w:val="none" w:sz="0" w:space="0" w:color="auto"/>
        <w:right w:val="none" w:sz="0" w:space="0" w:color="auto"/>
      </w:divBdr>
    </w:div>
    <w:div w:id="1402479216">
      <w:bodyDiv w:val="1"/>
      <w:marLeft w:val="0"/>
      <w:marRight w:val="0"/>
      <w:marTop w:val="0"/>
      <w:marBottom w:val="0"/>
      <w:divBdr>
        <w:top w:val="none" w:sz="0" w:space="0" w:color="auto"/>
        <w:left w:val="none" w:sz="0" w:space="0" w:color="auto"/>
        <w:bottom w:val="none" w:sz="0" w:space="0" w:color="auto"/>
        <w:right w:val="none" w:sz="0" w:space="0" w:color="auto"/>
      </w:divBdr>
    </w:div>
    <w:div w:id="1516112525">
      <w:bodyDiv w:val="1"/>
      <w:marLeft w:val="0"/>
      <w:marRight w:val="0"/>
      <w:marTop w:val="0"/>
      <w:marBottom w:val="0"/>
      <w:divBdr>
        <w:top w:val="none" w:sz="0" w:space="0" w:color="auto"/>
        <w:left w:val="none" w:sz="0" w:space="0" w:color="auto"/>
        <w:bottom w:val="none" w:sz="0" w:space="0" w:color="auto"/>
        <w:right w:val="none" w:sz="0" w:space="0" w:color="auto"/>
      </w:divBdr>
    </w:div>
    <w:div w:id="1611744210">
      <w:bodyDiv w:val="1"/>
      <w:marLeft w:val="0"/>
      <w:marRight w:val="0"/>
      <w:marTop w:val="0"/>
      <w:marBottom w:val="0"/>
      <w:divBdr>
        <w:top w:val="none" w:sz="0" w:space="0" w:color="auto"/>
        <w:left w:val="none" w:sz="0" w:space="0" w:color="auto"/>
        <w:bottom w:val="none" w:sz="0" w:space="0" w:color="auto"/>
        <w:right w:val="none" w:sz="0" w:space="0" w:color="auto"/>
      </w:divBdr>
    </w:div>
    <w:div w:id="1612319140">
      <w:bodyDiv w:val="1"/>
      <w:marLeft w:val="0"/>
      <w:marRight w:val="0"/>
      <w:marTop w:val="0"/>
      <w:marBottom w:val="0"/>
      <w:divBdr>
        <w:top w:val="none" w:sz="0" w:space="0" w:color="auto"/>
        <w:left w:val="none" w:sz="0" w:space="0" w:color="auto"/>
        <w:bottom w:val="none" w:sz="0" w:space="0" w:color="auto"/>
        <w:right w:val="none" w:sz="0" w:space="0" w:color="auto"/>
      </w:divBdr>
    </w:div>
    <w:div w:id="2085834787">
      <w:bodyDiv w:val="1"/>
      <w:marLeft w:val="0"/>
      <w:marRight w:val="0"/>
      <w:marTop w:val="0"/>
      <w:marBottom w:val="0"/>
      <w:divBdr>
        <w:top w:val="none" w:sz="0" w:space="0" w:color="auto"/>
        <w:left w:val="none" w:sz="0" w:space="0" w:color="auto"/>
        <w:bottom w:val="none" w:sz="0" w:space="0" w:color="auto"/>
        <w:right w:val="none" w:sz="0" w:space="0" w:color="auto"/>
      </w:divBdr>
    </w:div>
    <w:div w:id="214573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ns.gov.uk/economy/nationalaccounts/balanceofpayments/bulletins/foreigndirectinvestmentinvolvingukcompanies/2015"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niesrac.local\fileserver\Home\JWinkler\Documents\ISDS2\Data\BI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569535865700425E-2"/>
          <c:y val="3.5795851914639645E-2"/>
          <c:w val="0.92210109966080667"/>
          <c:h val="0.51700356454461738"/>
        </c:manualLayout>
      </c:layout>
      <c:barChart>
        <c:barDir val="col"/>
        <c:grouping val="stacked"/>
        <c:varyColors val="0"/>
        <c:ser>
          <c:idx val="0"/>
          <c:order val="0"/>
          <c:tx>
            <c:strRef>
              <c:f>BITS!$AB$1</c:f>
              <c:strCache>
                <c:ptCount val="1"/>
                <c:pt idx="0">
                  <c:v>Unmapped</c:v>
                </c:pt>
              </c:strCache>
            </c:strRef>
          </c:tx>
          <c:spPr>
            <a:pattFill prst="pct50">
              <a:fgClr>
                <a:schemeClr val="bg1">
                  <a:lumMod val="65000"/>
                </a:schemeClr>
              </a:fgClr>
              <a:bgClr>
                <a:schemeClr val="bg1"/>
              </a:bgClr>
            </a:pattFill>
            <a:ln>
              <a:noFill/>
            </a:ln>
          </c:spPr>
          <c:invertIfNegative val="0"/>
          <c:cat>
            <c:strRef>
              <c:f>BITS!$Z$2:$Z$35</c:f>
              <c:strCache>
                <c:ptCount val="34"/>
                <c:pt idx="0">
                  <c:v>Poland</c:v>
                </c:pt>
                <c:pt idx="1">
                  <c:v>Turkey</c:v>
                </c:pt>
                <c:pt idx="2">
                  <c:v>Czech Republic</c:v>
                </c:pt>
                <c:pt idx="3">
                  <c:v>Slovakia</c:v>
                </c:pt>
                <c:pt idx="4">
                  <c:v>Hungary</c:v>
                </c:pt>
                <c:pt idx="5">
                  <c:v>Korea</c:v>
                </c:pt>
                <c:pt idx="6">
                  <c:v>Mexico</c:v>
                </c:pt>
                <c:pt idx="7">
                  <c:v>Slovenia</c:v>
                </c:pt>
                <c:pt idx="8">
                  <c:v>Chile</c:v>
                </c:pt>
                <c:pt idx="9">
                  <c:v>Estonia</c:v>
                </c:pt>
                <c:pt idx="10">
                  <c:v>Germany</c:v>
                </c:pt>
                <c:pt idx="11">
                  <c:v>France</c:v>
                </c:pt>
                <c:pt idx="12">
                  <c:v>Greece</c:v>
                </c:pt>
                <c:pt idx="13">
                  <c:v>Austria</c:v>
                </c:pt>
                <c:pt idx="14">
                  <c:v>Belgium </c:v>
                </c:pt>
                <c:pt idx="15">
                  <c:v>Finland</c:v>
                </c:pt>
                <c:pt idx="16">
                  <c:v>Luxembourg</c:v>
                </c:pt>
                <c:pt idx="17">
                  <c:v>Portugal</c:v>
                </c:pt>
                <c:pt idx="18">
                  <c:v>Spain</c:v>
                </c:pt>
                <c:pt idx="19">
                  <c:v>Sweden</c:v>
                </c:pt>
                <c:pt idx="20">
                  <c:v>Switzerland</c:v>
                </c:pt>
                <c:pt idx="21">
                  <c:v>United Kingdom</c:v>
                </c:pt>
                <c:pt idx="22">
                  <c:v>Denmark</c:v>
                </c:pt>
                <c:pt idx="23">
                  <c:v>Netherlands</c:v>
                </c:pt>
                <c:pt idx="24">
                  <c:v>Israel</c:v>
                </c:pt>
                <c:pt idx="25">
                  <c:v>Norway</c:v>
                </c:pt>
                <c:pt idx="26">
                  <c:v>Australia</c:v>
                </c:pt>
                <c:pt idx="27">
                  <c:v>United States</c:v>
                </c:pt>
                <c:pt idx="28">
                  <c:v>Canada</c:v>
                </c:pt>
                <c:pt idx="29">
                  <c:v>Italy</c:v>
                </c:pt>
                <c:pt idx="30">
                  <c:v>Iceland</c:v>
                </c:pt>
                <c:pt idx="31">
                  <c:v>Japan</c:v>
                </c:pt>
                <c:pt idx="32">
                  <c:v>Ireland</c:v>
                </c:pt>
                <c:pt idx="33">
                  <c:v>New Zealand</c:v>
                </c:pt>
              </c:strCache>
            </c:strRef>
          </c:cat>
          <c:val>
            <c:numRef>
              <c:f>BITS!$AB$2:$AB$35</c:f>
              <c:numCache>
                <c:formatCode>General</c:formatCode>
                <c:ptCount val="34"/>
                <c:pt idx="0">
                  <c:v>5</c:v>
                </c:pt>
                <c:pt idx="1">
                  <c:v>1</c:v>
                </c:pt>
                <c:pt idx="2">
                  <c:v>3</c:v>
                </c:pt>
                <c:pt idx="3">
                  <c:v>7</c:v>
                </c:pt>
                <c:pt idx="4">
                  <c:v>2</c:v>
                </c:pt>
                <c:pt idx="5">
                  <c:v>0</c:v>
                </c:pt>
                <c:pt idx="6">
                  <c:v>0</c:v>
                </c:pt>
                <c:pt idx="7">
                  <c:v>2</c:v>
                </c:pt>
                <c:pt idx="8">
                  <c:v>0</c:v>
                </c:pt>
                <c:pt idx="9">
                  <c:v>2</c:v>
                </c:pt>
                <c:pt idx="10">
                  <c:v>6</c:v>
                </c:pt>
                <c:pt idx="11">
                  <c:v>0</c:v>
                </c:pt>
                <c:pt idx="12">
                  <c:v>1</c:v>
                </c:pt>
                <c:pt idx="13">
                  <c:v>6</c:v>
                </c:pt>
                <c:pt idx="14">
                  <c:v>0</c:v>
                </c:pt>
                <c:pt idx="15">
                  <c:v>0</c:v>
                </c:pt>
                <c:pt idx="16">
                  <c:v>0</c:v>
                </c:pt>
                <c:pt idx="17">
                  <c:v>2</c:v>
                </c:pt>
                <c:pt idx="18">
                  <c:v>1</c:v>
                </c:pt>
                <c:pt idx="19">
                  <c:v>1</c:v>
                </c:pt>
                <c:pt idx="20">
                  <c:v>0</c:v>
                </c:pt>
                <c:pt idx="21">
                  <c:v>0</c:v>
                </c:pt>
                <c:pt idx="22">
                  <c:v>1</c:v>
                </c:pt>
                <c:pt idx="23">
                  <c:v>0</c:v>
                </c:pt>
                <c:pt idx="24">
                  <c:v>0</c:v>
                </c:pt>
                <c:pt idx="25">
                  <c:v>0</c:v>
                </c:pt>
                <c:pt idx="26">
                  <c:v>0</c:v>
                </c:pt>
                <c:pt idx="27">
                  <c:v>0</c:v>
                </c:pt>
                <c:pt idx="28">
                  <c:v>0</c:v>
                </c:pt>
                <c:pt idx="29">
                  <c:v>0</c:v>
                </c:pt>
                <c:pt idx="30">
                  <c:v>0</c:v>
                </c:pt>
                <c:pt idx="31">
                  <c:v>0</c:v>
                </c:pt>
                <c:pt idx="32">
                  <c:v>0</c:v>
                </c:pt>
                <c:pt idx="33">
                  <c:v>0</c:v>
                </c:pt>
              </c:numCache>
            </c:numRef>
          </c:val>
        </c:ser>
        <c:ser>
          <c:idx val="1"/>
          <c:order val="1"/>
          <c:tx>
            <c:strRef>
              <c:f>BITS!$AC$1</c:f>
              <c:strCache>
                <c:ptCount val="1"/>
                <c:pt idx="0">
                  <c:v>No ISDS</c:v>
                </c:pt>
              </c:strCache>
            </c:strRef>
          </c:tx>
          <c:spPr>
            <a:solidFill>
              <a:schemeClr val="bg1">
                <a:lumMod val="65000"/>
              </a:schemeClr>
            </a:solidFill>
            <a:ln>
              <a:noFill/>
            </a:ln>
          </c:spPr>
          <c:invertIfNegative val="0"/>
          <c:cat>
            <c:strRef>
              <c:f>BITS!$Z$2:$Z$35</c:f>
              <c:strCache>
                <c:ptCount val="34"/>
                <c:pt idx="0">
                  <c:v>Poland</c:v>
                </c:pt>
                <c:pt idx="1">
                  <c:v>Turkey</c:v>
                </c:pt>
                <c:pt idx="2">
                  <c:v>Czech Republic</c:v>
                </c:pt>
                <c:pt idx="3">
                  <c:v>Slovakia</c:v>
                </c:pt>
                <c:pt idx="4">
                  <c:v>Hungary</c:v>
                </c:pt>
                <c:pt idx="5">
                  <c:v>Korea</c:v>
                </c:pt>
                <c:pt idx="6">
                  <c:v>Mexico</c:v>
                </c:pt>
                <c:pt idx="7">
                  <c:v>Slovenia</c:v>
                </c:pt>
                <c:pt idx="8">
                  <c:v>Chile</c:v>
                </c:pt>
                <c:pt idx="9">
                  <c:v>Estonia</c:v>
                </c:pt>
                <c:pt idx="10">
                  <c:v>Germany</c:v>
                </c:pt>
                <c:pt idx="11">
                  <c:v>France</c:v>
                </c:pt>
                <c:pt idx="12">
                  <c:v>Greece</c:v>
                </c:pt>
                <c:pt idx="13">
                  <c:v>Austria</c:v>
                </c:pt>
                <c:pt idx="14">
                  <c:v>Belgium </c:v>
                </c:pt>
                <c:pt idx="15">
                  <c:v>Finland</c:v>
                </c:pt>
                <c:pt idx="16">
                  <c:v>Luxembourg</c:v>
                </c:pt>
                <c:pt idx="17">
                  <c:v>Portugal</c:v>
                </c:pt>
                <c:pt idx="18">
                  <c:v>Spain</c:v>
                </c:pt>
                <c:pt idx="19">
                  <c:v>Sweden</c:v>
                </c:pt>
                <c:pt idx="20">
                  <c:v>Switzerland</c:v>
                </c:pt>
                <c:pt idx="21">
                  <c:v>United Kingdom</c:v>
                </c:pt>
                <c:pt idx="22">
                  <c:v>Denmark</c:v>
                </c:pt>
                <c:pt idx="23">
                  <c:v>Netherlands</c:v>
                </c:pt>
                <c:pt idx="24">
                  <c:v>Israel</c:v>
                </c:pt>
                <c:pt idx="25">
                  <c:v>Norway</c:v>
                </c:pt>
                <c:pt idx="26">
                  <c:v>Australia</c:v>
                </c:pt>
                <c:pt idx="27">
                  <c:v>United States</c:v>
                </c:pt>
                <c:pt idx="28">
                  <c:v>Canada</c:v>
                </c:pt>
                <c:pt idx="29">
                  <c:v>Italy</c:v>
                </c:pt>
                <c:pt idx="30">
                  <c:v>Iceland</c:v>
                </c:pt>
                <c:pt idx="31">
                  <c:v>Japan</c:v>
                </c:pt>
                <c:pt idx="32">
                  <c:v>Ireland</c:v>
                </c:pt>
                <c:pt idx="33">
                  <c:v>New Zealand</c:v>
                </c:pt>
              </c:strCache>
            </c:strRef>
          </c:cat>
          <c:val>
            <c:numRef>
              <c:f>BITS!$AC$2:$AC$35</c:f>
              <c:numCache>
                <c:formatCode>General</c:formatCode>
                <c:ptCount val="34"/>
                <c:pt idx="0">
                  <c:v>0</c:v>
                </c:pt>
                <c:pt idx="1">
                  <c:v>1</c:v>
                </c:pt>
                <c:pt idx="2">
                  <c:v>0</c:v>
                </c:pt>
                <c:pt idx="3">
                  <c:v>0</c:v>
                </c:pt>
                <c:pt idx="4">
                  <c:v>0</c:v>
                </c:pt>
                <c:pt idx="5">
                  <c:v>3</c:v>
                </c:pt>
                <c:pt idx="6">
                  <c:v>0</c:v>
                </c:pt>
                <c:pt idx="7">
                  <c:v>0</c:v>
                </c:pt>
                <c:pt idx="8">
                  <c:v>0</c:v>
                </c:pt>
                <c:pt idx="9">
                  <c:v>0</c:v>
                </c:pt>
                <c:pt idx="10">
                  <c:v>2</c:v>
                </c:pt>
                <c:pt idx="11">
                  <c:v>1</c:v>
                </c:pt>
                <c:pt idx="12">
                  <c:v>0</c:v>
                </c:pt>
                <c:pt idx="13">
                  <c:v>0</c:v>
                </c:pt>
                <c:pt idx="14">
                  <c:v>0</c:v>
                </c:pt>
                <c:pt idx="15">
                  <c:v>0</c:v>
                </c:pt>
                <c:pt idx="16">
                  <c:v>0</c:v>
                </c:pt>
                <c:pt idx="17">
                  <c:v>0</c:v>
                </c:pt>
                <c:pt idx="18">
                  <c:v>0</c:v>
                </c:pt>
                <c:pt idx="19">
                  <c:v>0</c:v>
                </c:pt>
                <c:pt idx="20">
                  <c:v>1</c:v>
                </c:pt>
                <c:pt idx="21">
                  <c:v>0</c:v>
                </c:pt>
                <c:pt idx="22">
                  <c:v>0</c:v>
                </c:pt>
                <c:pt idx="23">
                  <c:v>0</c:v>
                </c:pt>
                <c:pt idx="24">
                  <c:v>0</c:v>
                </c:pt>
                <c:pt idx="25">
                  <c:v>0</c:v>
                </c:pt>
                <c:pt idx="26">
                  <c:v>0</c:v>
                </c:pt>
                <c:pt idx="27">
                  <c:v>0</c:v>
                </c:pt>
                <c:pt idx="28">
                  <c:v>0</c:v>
                </c:pt>
                <c:pt idx="29">
                  <c:v>0</c:v>
                </c:pt>
                <c:pt idx="30">
                  <c:v>0</c:v>
                </c:pt>
                <c:pt idx="31">
                  <c:v>0</c:v>
                </c:pt>
                <c:pt idx="32">
                  <c:v>0</c:v>
                </c:pt>
                <c:pt idx="33">
                  <c:v>0</c:v>
                </c:pt>
              </c:numCache>
            </c:numRef>
          </c:val>
        </c:ser>
        <c:ser>
          <c:idx val="2"/>
          <c:order val="2"/>
          <c:tx>
            <c:strRef>
              <c:f>BITS!$AD$1</c:f>
              <c:strCache>
                <c:ptCount val="1"/>
                <c:pt idx="0">
                  <c:v>ISDS without pre-consent</c:v>
                </c:pt>
              </c:strCache>
            </c:strRef>
          </c:tx>
          <c:spPr>
            <a:solidFill>
              <a:schemeClr val="bg1">
                <a:lumMod val="50000"/>
              </a:schemeClr>
            </a:solidFill>
          </c:spPr>
          <c:invertIfNegative val="0"/>
          <c:cat>
            <c:strRef>
              <c:f>BITS!$Z$2:$Z$35</c:f>
              <c:strCache>
                <c:ptCount val="34"/>
                <c:pt idx="0">
                  <c:v>Poland</c:v>
                </c:pt>
                <c:pt idx="1">
                  <c:v>Turkey</c:v>
                </c:pt>
                <c:pt idx="2">
                  <c:v>Czech Republic</c:v>
                </c:pt>
                <c:pt idx="3">
                  <c:v>Slovakia</c:v>
                </c:pt>
                <c:pt idx="4">
                  <c:v>Hungary</c:v>
                </c:pt>
                <c:pt idx="5">
                  <c:v>Korea</c:v>
                </c:pt>
                <c:pt idx="6">
                  <c:v>Mexico</c:v>
                </c:pt>
                <c:pt idx="7">
                  <c:v>Slovenia</c:v>
                </c:pt>
                <c:pt idx="8">
                  <c:v>Chile</c:v>
                </c:pt>
                <c:pt idx="9">
                  <c:v>Estonia</c:v>
                </c:pt>
                <c:pt idx="10">
                  <c:v>Germany</c:v>
                </c:pt>
                <c:pt idx="11">
                  <c:v>France</c:v>
                </c:pt>
                <c:pt idx="12">
                  <c:v>Greece</c:v>
                </c:pt>
                <c:pt idx="13">
                  <c:v>Austria</c:v>
                </c:pt>
                <c:pt idx="14">
                  <c:v>Belgium </c:v>
                </c:pt>
                <c:pt idx="15">
                  <c:v>Finland</c:v>
                </c:pt>
                <c:pt idx="16">
                  <c:v>Luxembourg</c:v>
                </c:pt>
                <c:pt idx="17">
                  <c:v>Portugal</c:v>
                </c:pt>
                <c:pt idx="18">
                  <c:v>Spain</c:v>
                </c:pt>
                <c:pt idx="19">
                  <c:v>Sweden</c:v>
                </c:pt>
                <c:pt idx="20">
                  <c:v>Switzerland</c:v>
                </c:pt>
                <c:pt idx="21">
                  <c:v>United Kingdom</c:v>
                </c:pt>
                <c:pt idx="22">
                  <c:v>Denmark</c:v>
                </c:pt>
                <c:pt idx="23">
                  <c:v>Netherlands</c:v>
                </c:pt>
                <c:pt idx="24">
                  <c:v>Israel</c:v>
                </c:pt>
                <c:pt idx="25">
                  <c:v>Norway</c:v>
                </c:pt>
                <c:pt idx="26">
                  <c:v>Australia</c:v>
                </c:pt>
                <c:pt idx="27">
                  <c:v>United States</c:v>
                </c:pt>
                <c:pt idx="28">
                  <c:v>Canada</c:v>
                </c:pt>
                <c:pt idx="29">
                  <c:v>Italy</c:v>
                </c:pt>
                <c:pt idx="30">
                  <c:v>Iceland</c:v>
                </c:pt>
                <c:pt idx="31">
                  <c:v>Japan</c:v>
                </c:pt>
                <c:pt idx="32">
                  <c:v>Ireland</c:v>
                </c:pt>
                <c:pt idx="33">
                  <c:v>New Zealand</c:v>
                </c:pt>
              </c:strCache>
            </c:strRef>
          </c:cat>
          <c:val>
            <c:numRef>
              <c:f>BITS!$AD$2:$AD$35</c:f>
              <c:numCache>
                <c:formatCode>General</c:formatCode>
                <c:ptCount val="34"/>
                <c:pt idx="0">
                  <c:v>2</c:v>
                </c:pt>
                <c:pt idx="1">
                  <c:v>0</c:v>
                </c:pt>
                <c:pt idx="2">
                  <c:v>1</c:v>
                </c:pt>
                <c:pt idx="3">
                  <c:v>0</c:v>
                </c:pt>
                <c:pt idx="4">
                  <c:v>4</c:v>
                </c:pt>
                <c:pt idx="5">
                  <c:v>1</c:v>
                </c:pt>
                <c:pt idx="6">
                  <c:v>0</c:v>
                </c:pt>
                <c:pt idx="7">
                  <c:v>3</c:v>
                </c:pt>
                <c:pt idx="8">
                  <c:v>1</c:v>
                </c:pt>
                <c:pt idx="9">
                  <c:v>2</c:v>
                </c:pt>
                <c:pt idx="10">
                  <c:v>0</c:v>
                </c:pt>
                <c:pt idx="11">
                  <c:v>1</c:v>
                </c:pt>
                <c:pt idx="12">
                  <c:v>0</c:v>
                </c:pt>
                <c:pt idx="13">
                  <c:v>0</c:v>
                </c:pt>
                <c:pt idx="14">
                  <c:v>1</c:v>
                </c:pt>
                <c:pt idx="15">
                  <c:v>0</c:v>
                </c:pt>
                <c:pt idx="16">
                  <c:v>1</c:v>
                </c:pt>
                <c:pt idx="17">
                  <c:v>0</c:v>
                </c:pt>
                <c:pt idx="18">
                  <c:v>0</c:v>
                </c:pt>
                <c:pt idx="19">
                  <c:v>1</c:v>
                </c:pt>
                <c:pt idx="20">
                  <c:v>0</c:v>
                </c:pt>
                <c:pt idx="21">
                  <c:v>1</c:v>
                </c:pt>
                <c:pt idx="22">
                  <c:v>0</c:v>
                </c:pt>
                <c:pt idx="23">
                  <c:v>0</c:v>
                </c:pt>
                <c:pt idx="24">
                  <c:v>0</c:v>
                </c:pt>
                <c:pt idx="25">
                  <c:v>0</c:v>
                </c:pt>
                <c:pt idx="26">
                  <c:v>2</c:v>
                </c:pt>
                <c:pt idx="27">
                  <c:v>1</c:v>
                </c:pt>
                <c:pt idx="28">
                  <c:v>1</c:v>
                </c:pt>
                <c:pt idx="29">
                  <c:v>0</c:v>
                </c:pt>
                <c:pt idx="30">
                  <c:v>1</c:v>
                </c:pt>
                <c:pt idx="31">
                  <c:v>0</c:v>
                </c:pt>
                <c:pt idx="32">
                  <c:v>0</c:v>
                </c:pt>
                <c:pt idx="33">
                  <c:v>0</c:v>
                </c:pt>
              </c:numCache>
            </c:numRef>
          </c:val>
        </c:ser>
        <c:ser>
          <c:idx val="3"/>
          <c:order val="3"/>
          <c:tx>
            <c:strRef>
              <c:f>BITS!$AE$1</c:f>
              <c:strCache>
                <c:ptCount val="1"/>
                <c:pt idx="0">
                  <c:v>Pre-consent to ISDS alone</c:v>
                </c:pt>
              </c:strCache>
            </c:strRef>
          </c:tx>
          <c:spPr>
            <a:solidFill>
              <a:srgbClr val="AA273E">
                <a:alpha val="55000"/>
              </a:srgbClr>
            </a:solidFill>
          </c:spPr>
          <c:invertIfNegative val="0"/>
          <c:cat>
            <c:strRef>
              <c:f>BITS!$Z$2:$Z$35</c:f>
              <c:strCache>
                <c:ptCount val="34"/>
                <c:pt idx="0">
                  <c:v>Poland</c:v>
                </c:pt>
                <c:pt idx="1">
                  <c:v>Turkey</c:v>
                </c:pt>
                <c:pt idx="2">
                  <c:v>Czech Republic</c:v>
                </c:pt>
                <c:pt idx="3">
                  <c:v>Slovakia</c:v>
                </c:pt>
                <c:pt idx="4">
                  <c:v>Hungary</c:v>
                </c:pt>
                <c:pt idx="5">
                  <c:v>Korea</c:v>
                </c:pt>
                <c:pt idx="6">
                  <c:v>Mexico</c:v>
                </c:pt>
                <c:pt idx="7">
                  <c:v>Slovenia</c:v>
                </c:pt>
                <c:pt idx="8">
                  <c:v>Chile</c:v>
                </c:pt>
                <c:pt idx="9">
                  <c:v>Estonia</c:v>
                </c:pt>
                <c:pt idx="10">
                  <c:v>Germany</c:v>
                </c:pt>
                <c:pt idx="11">
                  <c:v>France</c:v>
                </c:pt>
                <c:pt idx="12">
                  <c:v>Greece</c:v>
                </c:pt>
                <c:pt idx="13">
                  <c:v>Austria</c:v>
                </c:pt>
                <c:pt idx="14">
                  <c:v>Belgium </c:v>
                </c:pt>
                <c:pt idx="15">
                  <c:v>Finland</c:v>
                </c:pt>
                <c:pt idx="16">
                  <c:v>Luxembourg</c:v>
                </c:pt>
                <c:pt idx="17">
                  <c:v>Portugal</c:v>
                </c:pt>
                <c:pt idx="18">
                  <c:v>Spain</c:v>
                </c:pt>
                <c:pt idx="19">
                  <c:v>Sweden</c:v>
                </c:pt>
                <c:pt idx="20">
                  <c:v>Switzerland</c:v>
                </c:pt>
                <c:pt idx="21">
                  <c:v>United Kingdom</c:v>
                </c:pt>
                <c:pt idx="22">
                  <c:v>Denmark</c:v>
                </c:pt>
                <c:pt idx="23">
                  <c:v>Netherlands</c:v>
                </c:pt>
                <c:pt idx="24">
                  <c:v>Israel</c:v>
                </c:pt>
                <c:pt idx="25">
                  <c:v>Norway</c:v>
                </c:pt>
                <c:pt idx="26">
                  <c:v>Australia</c:v>
                </c:pt>
                <c:pt idx="27">
                  <c:v>United States</c:v>
                </c:pt>
                <c:pt idx="28">
                  <c:v>Canada</c:v>
                </c:pt>
                <c:pt idx="29">
                  <c:v>Italy</c:v>
                </c:pt>
                <c:pt idx="30">
                  <c:v>Iceland</c:v>
                </c:pt>
                <c:pt idx="31">
                  <c:v>Japan</c:v>
                </c:pt>
                <c:pt idx="32">
                  <c:v>Ireland</c:v>
                </c:pt>
                <c:pt idx="33">
                  <c:v>New Zealand</c:v>
                </c:pt>
              </c:strCache>
            </c:strRef>
          </c:cat>
          <c:val>
            <c:numRef>
              <c:f>BITS!$AE$2:$AE$35</c:f>
              <c:numCache>
                <c:formatCode>General</c:formatCode>
                <c:ptCount val="34"/>
                <c:pt idx="0">
                  <c:v>12</c:v>
                </c:pt>
                <c:pt idx="1">
                  <c:v>9</c:v>
                </c:pt>
                <c:pt idx="2">
                  <c:v>8</c:v>
                </c:pt>
                <c:pt idx="3">
                  <c:v>4</c:v>
                </c:pt>
                <c:pt idx="4">
                  <c:v>3</c:v>
                </c:pt>
                <c:pt idx="5">
                  <c:v>4</c:v>
                </c:pt>
                <c:pt idx="6">
                  <c:v>8</c:v>
                </c:pt>
                <c:pt idx="7">
                  <c:v>2</c:v>
                </c:pt>
                <c:pt idx="8">
                  <c:v>9</c:v>
                </c:pt>
                <c:pt idx="9">
                  <c:v>2</c:v>
                </c:pt>
                <c:pt idx="10">
                  <c:v>3</c:v>
                </c:pt>
                <c:pt idx="11">
                  <c:v>3</c:v>
                </c:pt>
                <c:pt idx="12">
                  <c:v>4</c:v>
                </c:pt>
                <c:pt idx="13">
                  <c:v>3</c:v>
                </c:pt>
                <c:pt idx="14">
                  <c:v>6</c:v>
                </c:pt>
                <c:pt idx="15">
                  <c:v>3</c:v>
                </c:pt>
                <c:pt idx="16">
                  <c:v>6</c:v>
                </c:pt>
                <c:pt idx="17">
                  <c:v>1</c:v>
                </c:pt>
                <c:pt idx="18">
                  <c:v>1</c:v>
                </c:pt>
                <c:pt idx="19">
                  <c:v>3</c:v>
                </c:pt>
                <c:pt idx="20">
                  <c:v>1</c:v>
                </c:pt>
                <c:pt idx="21">
                  <c:v>5</c:v>
                </c:pt>
                <c:pt idx="22">
                  <c:v>2</c:v>
                </c:pt>
                <c:pt idx="23">
                  <c:v>1</c:v>
                </c:pt>
                <c:pt idx="24">
                  <c:v>0</c:v>
                </c:pt>
                <c:pt idx="25">
                  <c:v>3</c:v>
                </c:pt>
                <c:pt idx="26">
                  <c:v>0</c:v>
                </c:pt>
                <c:pt idx="27">
                  <c:v>3</c:v>
                </c:pt>
                <c:pt idx="28">
                  <c:v>0</c:v>
                </c:pt>
                <c:pt idx="29">
                  <c:v>3</c:v>
                </c:pt>
                <c:pt idx="30">
                  <c:v>0</c:v>
                </c:pt>
                <c:pt idx="31">
                  <c:v>0</c:v>
                </c:pt>
                <c:pt idx="32">
                  <c:v>0</c:v>
                </c:pt>
                <c:pt idx="33">
                  <c:v>0</c:v>
                </c:pt>
              </c:numCache>
            </c:numRef>
          </c:val>
        </c:ser>
        <c:ser>
          <c:idx val="4"/>
          <c:order val="4"/>
          <c:tx>
            <c:strRef>
              <c:f>BITS!$AF$1</c:f>
              <c:strCache>
                <c:ptCount val="1"/>
                <c:pt idx="0">
                  <c:v>Unrestricted coverage of investment claims</c:v>
                </c:pt>
              </c:strCache>
            </c:strRef>
          </c:tx>
          <c:spPr>
            <a:solidFill>
              <a:srgbClr val="AA273E">
                <a:alpha val="70000"/>
              </a:srgbClr>
            </a:solidFill>
          </c:spPr>
          <c:invertIfNegative val="0"/>
          <c:cat>
            <c:strRef>
              <c:f>BITS!$Z$2:$Z$35</c:f>
              <c:strCache>
                <c:ptCount val="34"/>
                <c:pt idx="0">
                  <c:v>Poland</c:v>
                </c:pt>
                <c:pt idx="1">
                  <c:v>Turkey</c:v>
                </c:pt>
                <c:pt idx="2">
                  <c:v>Czech Republic</c:v>
                </c:pt>
                <c:pt idx="3">
                  <c:v>Slovakia</c:v>
                </c:pt>
                <c:pt idx="4">
                  <c:v>Hungary</c:v>
                </c:pt>
                <c:pt idx="5">
                  <c:v>Korea</c:v>
                </c:pt>
                <c:pt idx="6">
                  <c:v>Mexico</c:v>
                </c:pt>
                <c:pt idx="7">
                  <c:v>Slovenia</c:v>
                </c:pt>
                <c:pt idx="8">
                  <c:v>Chile</c:v>
                </c:pt>
                <c:pt idx="9">
                  <c:v>Estonia</c:v>
                </c:pt>
                <c:pt idx="10">
                  <c:v>Germany</c:v>
                </c:pt>
                <c:pt idx="11">
                  <c:v>France</c:v>
                </c:pt>
                <c:pt idx="12">
                  <c:v>Greece</c:v>
                </c:pt>
                <c:pt idx="13">
                  <c:v>Austria</c:v>
                </c:pt>
                <c:pt idx="14">
                  <c:v>Belgium </c:v>
                </c:pt>
                <c:pt idx="15">
                  <c:v>Finland</c:v>
                </c:pt>
                <c:pt idx="16">
                  <c:v>Luxembourg</c:v>
                </c:pt>
                <c:pt idx="17">
                  <c:v>Portugal</c:v>
                </c:pt>
                <c:pt idx="18">
                  <c:v>Spain</c:v>
                </c:pt>
                <c:pt idx="19">
                  <c:v>Sweden</c:v>
                </c:pt>
                <c:pt idx="20">
                  <c:v>Switzerland</c:v>
                </c:pt>
                <c:pt idx="21">
                  <c:v>United Kingdom</c:v>
                </c:pt>
                <c:pt idx="22">
                  <c:v>Denmark</c:v>
                </c:pt>
                <c:pt idx="23">
                  <c:v>Netherlands</c:v>
                </c:pt>
                <c:pt idx="24">
                  <c:v>Israel</c:v>
                </c:pt>
                <c:pt idx="25">
                  <c:v>Norway</c:v>
                </c:pt>
                <c:pt idx="26">
                  <c:v>Australia</c:v>
                </c:pt>
                <c:pt idx="27">
                  <c:v>United States</c:v>
                </c:pt>
                <c:pt idx="28">
                  <c:v>Canada</c:v>
                </c:pt>
                <c:pt idx="29">
                  <c:v>Italy</c:v>
                </c:pt>
                <c:pt idx="30">
                  <c:v>Iceland</c:v>
                </c:pt>
                <c:pt idx="31">
                  <c:v>Japan</c:v>
                </c:pt>
                <c:pt idx="32">
                  <c:v>Ireland</c:v>
                </c:pt>
                <c:pt idx="33">
                  <c:v>New Zealand</c:v>
                </c:pt>
              </c:strCache>
            </c:strRef>
          </c:cat>
          <c:val>
            <c:numRef>
              <c:f>BITS!$AF$2:$AF$35</c:f>
              <c:numCache>
                <c:formatCode>General</c:formatCode>
                <c:ptCount val="34"/>
                <c:pt idx="0">
                  <c:v>8</c:v>
                </c:pt>
                <c:pt idx="1">
                  <c:v>15</c:v>
                </c:pt>
                <c:pt idx="2">
                  <c:v>10</c:v>
                </c:pt>
                <c:pt idx="3">
                  <c:v>11</c:v>
                </c:pt>
                <c:pt idx="4">
                  <c:v>14</c:v>
                </c:pt>
                <c:pt idx="5">
                  <c:v>13</c:v>
                </c:pt>
                <c:pt idx="6">
                  <c:v>2</c:v>
                </c:pt>
                <c:pt idx="7">
                  <c:v>11</c:v>
                </c:pt>
                <c:pt idx="8">
                  <c:v>8</c:v>
                </c:pt>
                <c:pt idx="9">
                  <c:v>10</c:v>
                </c:pt>
                <c:pt idx="10">
                  <c:v>1</c:v>
                </c:pt>
                <c:pt idx="11">
                  <c:v>6</c:v>
                </c:pt>
                <c:pt idx="12">
                  <c:v>5</c:v>
                </c:pt>
                <c:pt idx="13">
                  <c:v>1</c:v>
                </c:pt>
                <c:pt idx="14">
                  <c:v>2</c:v>
                </c:pt>
                <c:pt idx="15">
                  <c:v>7</c:v>
                </c:pt>
                <c:pt idx="16">
                  <c:v>2</c:v>
                </c:pt>
                <c:pt idx="17">
                  <c:v>6</c:v>
                </c:pt>
                <c:pt idx="18">
                  <c:v>7</c:v>
                </c:pt>
                <c:pt idx="19">
                  <c:v>5</c:v>
                </c:pt>
                <c:pt idx="20">
                  <c:v>7</c:v>
                </c:pt>
                <c:pt idx="21">
                  <c:v>3</c:v>
                </c:pt>
                <c:pt idx="22">
                  <c:v>6</c:v>
                </c:pt>
                <c:pt idx="23">
                  <c:v>7</c:v>
                </c:pt>
                <c:pt idx="24">
                  <c:v>7</c:v>
                </c:pt>
                <c:pt idx="25">
                  <c:v>3</c:v>
                </c:pt>
                <c:pt idx="26">
                  <c:v>2</c:v>
                </c:pt>
                <c:pt idx="27">
                  <c:v>0</c:v>
                </c:pt>
                <c:pt idx="28">
                  <c:v>2</c:v>
                </c:pt>
                <c:pt idx="29">
                  <c:v>1</c:v>
                </c:pt>
                <c:pt idx="30">
                  <c:v>0</c:v>
                </c:pt>
                <c:pt idx="31">
                  <c:v>2</c:v>
                </c:pt>
                <c:pt idx="32">
                  <c:v>0</c:v>
                </c:pt>
                <c:pt idx="33">
                  <c:v>0</c:v>
                </c:pt>
              </c:numCache>
            </c:numRef>
          </c:val>
        </c:ser>
        <c:ser>
          <c:idx val="5"/>
          <c:order val="5"/>
          <c:tx>
            <c:strRef>
              <c:f>BITS!$AG$1</c:f>
              <c:strCache>
                <c:ptCount val="1"/>
                <c:pt idx="0">
                  <c:v>Binding interpretation</c:v>
                </c:pt>
              </c:strCache>
            </c:strRef>
          </c:tx>
          <c:spPr>
            <a:solidFill>
              <a:srgbClr val="AA273E">
                <a:alpha val="85000"/>
              </a:srgbClr>
            </a:solidFill>
          </c:spPr>
          <c:invertIfNegative val="0"/>
          <c:cat>
            <c:strRef>
              <c:f>BITS!$Z$2:$Z$35</c:f>
              <c:strCache>
                <c:ptCount val="34"/>
                <c:pt idx="0">
                  <c:v>Poland</c:v>
                </c:pt>
                <c:pt idx="1">
                  <c:v>Turkey</c:v>
                </c:pt>
                <c:pt idx="2">
                  <c:v>Czech Republic</c:v>
                </c:pt>
                <c:pt idx="3">
                  <c:v>Slovakia</c:v>
                </c:pt>
                <c:pt idx="4">
                  <c:v>Hungary</c:v>
                </c:pt>
                <c:pt idx="5">
                  <c:v>Korea</c:v>
                </c:pt>
                <c:pt idx="6">
                  <c:v>Mexico</c:v>
                </c:pt>
                <c:pt idx="7">
                  <c:v>Slovenia</c:v>
                </c:pt>
                <c:pt idx="8">
                  <c:v>Chile</c:v>
                </c:pt>
                <c:pt idx="9">
                  <c:v>Estonia</c:v>
                </c:pt>
                <c:pt idx="10">
                  <c:v>Germany</c:v>
                </c:pt>
                <c:pt idx="11">
                  <c:v>France</c:v>
                </c:pt>
                <c:pt idx="12">
                  <c:v>Greece</c:v>
                </c:pt>
                <c:pt idx="13">
                  <c:v>Austria</c:v>
                </c:pt>
                <c:pt idx="14">
                  <c:v>Belgium </c:v>
                </c:pt>
                <c:pt idx="15">
                  <c:v>Finland</c:v>
                </c:pt>
                <c:pt idx="16">
                  <c:v>Luxembourg</c:v>
                </c:pt>
                <c:pt idx="17">
                  <c:v>Portugal</c:v>
                </c:pt>
                <c:pt idx="18">
                  <c:v>Spain</c:v>
                </c:pt>
                <c:pt idx="19">
                  <c:v>Sweden</c:v>
                </c:pt>
                <c:pt idx="20">
                  <c:v>Switzerland</c:v>
                </c:pt>
                <c:pt idx="21">
                  <c:v>United Kingdom</c:v>
                </c:pt>
                <c:pt idx="22">
                  <c:v>Denmark</c:v>
                </c:pt>
                <c:pt idx="23">
                  <c:v>Netherlands</c:v>
                </c:pt>
                <c:pt idx="24">
                  <c:v>Israel</c:v>
                </c:pt>
                <c:pt idx="25">
                  <c:v>Norway</c:v>
                </c:pt>
                <c:pt idx="26">
                  <c:v>Australia</c:v>
                </c:pt>
                <c:pt idx="27">
                  <c:v>United States</c:v>
                </c:pt>
                <c:pt idx="28">
                  <c:v>Canada</c:v>
                </c:pt>
                <c:pt idx="29">
                  <c:v>Italy</c:v>
                </c:pt>
                <c:pt idx="30">
                  <c:v>Iceland</c:v>
                </c:pt>
                <c:pt idx="31">
                  <c:v>Japan</c:v>
                </c:pt>
                <c:pt idx="32">
                  <c:v>Ireland</c:v>
                </c:pt>
                <c:pt idx="33">
                  <c:v>New Zealand</c:v>
                </c:pt>
              </c:strCache>
            </c:strRef>
          </c:cat>
          <c:val>
            <c:numRef>
              <c:f>BITS!$AG$2:$AG$35</c:f>
              <c:numCache>
                <c:formatCode>General</c:formatCode>
                <c:ptCount val="34"/>
                <c:pt idx="0">
                  <c:v>0</c:v>
                </c:pt>
                <c:pt idx="1">
                  <c:v>0</c:v>
                </c:pt>
                <c:pt idx="2">
                  <c:v>1</c:v>
                </c:pt>
                <c:pt idx="3">
                  <c:v>1</c:v>
                </c:pt>
                <c:pt idx="4">
                  <c:v>0</c:v>
                </c:pt>
                <c:pt idx="5">
                  <c:v>1</c:v>
                </c:pt>
                <c:pt idx="6">
                  <c:v>8</c:v>
                </c:pt>
                <c:pt idx="7">
                  <c:v>0</c:v>
                </c:pt>
                <c:pt idx="8">
                  <c:v>0</c:v>
                </c:pt>
                <c:pt idx="9">
                  <c:v>0</c:v>
                </c:pt>
                <c:pt idx="10">
                  <c:v>0</c:v>
                </c:pt>
                <c:pt idx="11">
                  <c:v>0</c:v>
                </c:pt>
                <c:pt idx="12">
                  <c:v>1</c:v>
                </c:pt>
                <c:pt idx="13">
                  <c:v>0</c:v>
                </c:pt>
                <c:pt idx="14">
                  <c:v>0</c:v>
                </c:pt>
                <c:pt idx="15">
                  <c:v>0</c:v>
                </c:pt>
                <c:pt idx="16">
                  <c:v>0</c:v>
                </c:pt>
                <c:pt idx="17">
                  <c:v>1</c:v>
                </c:pt>
                <c:pt idx="18">
                  <c:v>1</c:v>
                </c:pt>
                <c:pt idx="19">
                  <c:v>0</c:v>
                </c:pt>
                <c:pt idx="20">
                  <c:v>0</c:v>
                </c:pt>
                <c:pt idx="21">
                  <c:v>1</c:v>
                </c:pt>
                <c:pt idx="22">
                  <c:v>0</c:v>
                </c:pt>
                <c:pt idx="23">
                  <c:v>0</c:v>
                </c:pt>
                <c:pt idx="24">
                  <c:v>0</c:v>
                </c:pt>
                <c:pt idx="25">
                  <c:v>0</c:v>
                </c:pt>
                <c:pt idx="26">
                  <c:v>1</c:v>
                </c:pt>
                <c:pt idx="27">
                  <c:v>1</c:v>
                </c:pt>
                <c:pt idx="28">
                  <c:v>0</c:v>
                </c:pt>
                <c:pt idx="29">
                  <c:v>0</c:v>
                </c:pt>
                <c:pt idx="30">
                  <c:v>1</c:v>
                </c:pt>
                <c:pt idx="31">
                  <c:v>0</c:v>
                </c:pt>
                <c:pt idx="32">
                  <c:v>0</c:v>
                </c:pt>
                <c:pt idx="33">
                  <c:v>0</c:v>
                </c:pt>
              </c:numCache>
            </c:numRef>
          </c:val>
        </c:ser>
        <c:ser>
          <c:idx val="6"/>
          <c:order val="6"/>
          <c:tx>
            <c:strRef>
              <c:f>BITS!$AH$1</c:f>
              <c:strCache>
                <c:ptCount val="1"/>
                <c:pt idx="0">
                  <c:v>Unrestricted coverage of claims and binding rules</c:v>
                </c:pt>
              </c:strCache>
            </c:strRef>
          </c:tx>
          <c:spPr>
            <a:solidFill>
              <a:srgbClr val="AA273E"/>
            </a:solidFill>
          </c:spPr>
          <c:invertIfNegative val="0"/>
          <c:cat>
            <c:strRef>
              <c:f>BITS!$Z$2:$Z$35</c:f>
              <c:strCache>
                <c:ptCount val="34"/>
                <c:pt idx="0">
                  <c:v>Poland</c:v>
                </c:pt>
                <c:pt idx="1">
                  <c:v>Turkey</c:v>
                </c:pt>
                <c:pt idx="2">
                  <c:v>Czech Republic</c:v>
                </c:pt>
                <c:pt idx="3">
                  <c:v>Slovakia</c:v>
                </c:pt>
                <c:pt idx="4">
                  <c:v>Hungary</c:v>
                </c:pt>
                <c:pt idx="5">
                  <c:v>Korea</c:v>
                </c:pt>
                <c:pt idx="6">
                  <c:v>Mexico</c:v>
                </c:pt>
                <c:pt idx="7">
                  <c:v>Slovenia</c:v>
                </c:pt>
                <c:pt idx="8">
                  <c:v>Chile</c:v>
                </c:pt>
                <c:pt idx="9">
                  <c:v>Estonia</c:v>
                </c:pt>
                <c:pt idx="10">
                  <c:v>Germany</c:v>
                </c:pt>
                <c:pt idx="11">
                  <c:v>France</c:v>
                </c:pt>
                <c:pt idx="12">
                  <c:v>Greece</c:v>
                </c:pt>
                <c:pt idx="13">
                  <c:v>Austria</c:v>
                </c:pt>
                <c:pt idx="14">
                  <c:v>Belgium </c:v>
                </c:pt>
                <c:pt idx="15">
                  <c:v>Finland</c:v>
                </c:pt>
                <c:pt idx="16">
                  <c:v>Luxembourg</c:v>
                </c:pt>
                <c:pt idx="17">
                  <c:v>Portugal</c:v>
                </c:pt>
                <c:pt idx="18">
                  <c:v>Spain</c:v>
                </c:pt>
                <c:pt idx="19">
                  <c:v>Sweden</c:v>
                </c:pt>
                <c:pt idx="20">
                  <c:v>Switzerland</c:v>
                </c:pt>
                <c:pt idx="21">
                  <c:v>United Kingdom</c:v>
                </c:pt>
                <c:pt idx="22">
                  <c:v>Denmark</c:v>
                </c:pt>
                <c:pt idx="23">
                  <c:v>Netherlands</c:v>
                </c:pt>
                <c:pt idx="24">
                  <c:v>Israel</c:v>
                </c:pt>
                <c:pt idx="25">
                  <c:v>Norway</c:v>
                </c:pt>
                <c:pt idx="26">
                  <c:v>Australia</c:v>
                </c:pt>
                <c:pt idx="27">
                  <c:v>United States</c:v>
                </c:pt>
                <c:pt idx="28">
                  <c:v>Canada</c:v>
                </c:pt>
                <c:pt idx="29">
                  <c:v>Italy</c:v>
                </c:pt>
                <c:pt idx="30">
                  <c:v>Iceland</c:v>
                </c:pt>
                <c:pt idx="31">
                  <c:v>Japan</c:v>
                </c:pt>
                <c:pt idx="32">
                  <c:v>Ireland</c:v>
                </c:pt>
                <c:pt idx="33">
                  <c:v>New Zealand</c:v>
                </c:pt>
              </c:strCache>
            </c:strRef>
          </c:cat>
          <c:val>
            <c:numRef>
              <c:f>BITS!$AH$2:$AH$35</c:f>
              <c:numCache>
                <c:formatCode>General</c:formatCode>
                <c:ptCount val="34"/>
                <c:pt idx="0">
                  <c:v>0</c:v>
                </c:pt>
                <c:pt idx="1">
                  <c:v>0</c:v>
                </c:pt>
                <c:pt idx="2">
                  <c:v>1</c:v>
                </c:pt>
                <c:pt idx="3">
                  <c:v>1</c:v>
                </c:pt>
                <c:pt idx="4">
                  <c:v>0</c:v>
                </c:pt>
                <c:pt idx="5">
                  <c:v>1</c:v>
                </c:pt>
                <c:pt idx="6">
                  <c:v>2</c:v>
                </c:pt>
                <c:pt idx="7">
                  <c:v>0</c:v>
                </c:pt>
                <c:pt idx="8">
                  <c:v>0</c:v>
                </c:pt>
                <c:pt idx="9">
                  <c:v>2</c:v>
                </c:pt>
                <c:pt idx="10">
                  <c:v>0</c:v>
                </c:pt>
                <c:pt idx="11">
                  <c:v>0</c:v>
                </c:pt>
                <c:pt idx="12">
                  <c:v>0</c:v>
                </c:pt>
                <c:pt idx="13">
                  <c:v>0</c:v>
                </c:pt>
                <c:pt idx="14">
                  <c:v>1</c:v>
                </c:pt>
                <c:pt idx="15">
                  <c:v>0</c:v>
                </c:pt>
                <c:pt idx="16">
                  <c:v>1</c:v>
                </c:pt>
                <c:pt idx="17">
                  <c:v>0</c:v>
                </c:pt>
                <c:pt idx="18">
                  <c:v>0</c:v>
                </c:pt>
                <c:pt idx="19">
                  <c:v>0</c:v>
                </c:pt>
                <c:pt idx="20">
                  <c:v>1</c:v>
                </c:pt>
                <c:pt idx="21">
                  <c:v>0</c:v>
                </c:pt>
                <c:pt idx="22">
                  <c:v>0</c:v>
                </c:pt>
                <c:pt idx="23">
                  <c:v>1</c:v>
                </c:pt>
                <c:pt idx="24">
                  <c:v>0</c:v>
                </c:pt>
                <c:pt idx="25">
                  <c:v>0</c:v>
                </c:pt>
                <c:pt idx="26">
                  <c:v>0</c:v>
                </c:pt>
                <c:pt idx="27">
                  <c:v>0</c:v>
                </c:pt>
                <c:pt idx="28">
                  <c:v>1</c:v>
                </c:pt>
                <c:pt idx="29">
                  <c:v>0</c:v>
                </c:pt>
                <c:pt idx="30">
                  <c:v>0</c:v>
                </c:pt>
                <c:pt idx="31">
                  <c:v>0</c:v>
                </c:pt>
                <c:pt idx="32">
                  <c:v>0</c:v>
                </c:pt>
                <c:pt idx="33">
                  <c:v>0</c:v>
                </c:pt>
              </c:numCache>
            </c:numRef>
          </c:val>
        </c:ser>
        <c:dLbls>
          <c:showLegendKey val="0"/>
          <c:showVal val="0"/>
          <c:showCatName val="0"/>
          <c:showSerName val="0"/>
          <c:showPercent val="0"/>
          <c:showBubbleSize val="0"/>
        </c:dLbls>
        <c:gapWidth val="30"/>
        <c:overlap val="100"/>
        <c:axId val="103174528"/>
        <c:axId val="103176064"/>
      </c:barChart>
      <c:catAx>
        <c:axId val="103174528"/>
        <c:scaling>
          <c:orientation val="minMax"/>
        </c:scaling>
        <c:delete val="0"/>
        <c:axPos val="b"/>
        <c:majorTickMark val="none"/>
        <c:minorTickMark val="none"/>
        <c:tickLblPos val="nextTo"/>
        <c:spPr>
          <a:ln w="25400">
            <a:solidFill>
              <a:schemeClr val="tx1"/>
            </a:solidFill>
          </a:ln>
        </c:spPr>
        <c:txPr>
          <a:bodyPr/>
          <a:lstStyle/>
          <a:p>
            <a:pPr>
              <a:defRPr baseline="0"/>
            </a:pPr>
            <a:endParaRPr lang="en-US"/>
          </a:p>
        </c:txPr>
        <c:crossAx val="103176064"/>
        <c:crosses val="autoZero"/>
        <c:auto val="1"/>
        <c:lblAlgn val="ctr"/>
        <c:lblOffset val="100"/>
        <c:noMultiLvlLbl val="0"/>
      </c:catAx>
      <c:valAx>
        <c:axId val="103176064"/>
        <c:scaling>
          <c:orientation val="minMax"/>
        </c:scaling>
        <c:delete val="0"/>
        <c:axPos val="l"/>
        <c:numFmt formatCode="General" sourceLinked="1"/>
        <c:majorTickMark val="in"/>
        <c:minorTickMark val="none"/>
        <c:tickLblPos val="nextTo"/>
        <c:spPr>
          <a:ln w="25400">
            <a:solidFill>
              <a:schemeClr val="tx1"/>
            </a:solidFill>
          </a:ln>
        </c:spPr>
        <c:crossAx val="103174528"/>
        <c:crosses val="autoZero"/>
        <c:crossBetween val="between"/>
      </c:valAx>
      <c:spPr>
        <a:noFill/>
        <a:ln w="25400">
          <a:noFill/>
        </a:ln>
      </c:spPr>
    </c:plotArea>
    <c:legend>
      <c:legendPos val="b"/>
      <c:layout>
        <c:manualLayout>
          <c:xMode val="edge"/>
          <c:yMode val="edge"/>
          <c:x val="0"/>
          <c:y val="0.7934034857235478"/>
          <c:w val="0.99815394884861131"/>
          <c:h val="0.20659651427645218"/>
        </c:manualLayout>
      </c:layout>
      <c:overlay val="0"/>
    </c:legend>
    <c:plotVisOnly val="1"/>
    <c:dispBlanksAs val="gap"/>
    <c:showDLblsOverMax val="0"/>
  </c:chart>
  <c:spPr>
    <a:ln>
      <a:noFill/>
    </a:ln>
  </c:spPr>
  <c:txPr>
    <a:bodyPr/>
    <a:lstStyle/>
    <a:p>
      <a:pPr>
        <a:defRPr sz="1200" baseline="0">
          <a:latin typeface="Gill Sans MT" panose="020B0502020104020203"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0B25D-0FB6-42D8-B047-32562F3A1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6857</Words>
  <Characters>39087</Characters>
  <Application>Microsoft Office Word</Application>
  <DocSecurity>4</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Winkler</dc:creator>
  <cp:lastModifiedBy>9259975</cp:lastModifiedBy>
  <cp:revision>2</cp:revision>
  <cp:lastPrinted>2017-08-10T09:44:00Z</cp:lastPrinted>
  <dcterms:created xsi:type="dcterms:W3CDTF">2017-08-10T17:58:00Z</dcterms:created>
  <dcterms:modified xsi:type="dcterms:W3CDTF">2017-08-10T17:58:00Z</dcterms:modified>
</cp:coreProperties>
</file>